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Lines="0" w:line="600" w:lineRule="exact"/>
        <w:textAlignment w:val="auto"/>
        <w:rPr>
          <w:rFonts w:hint="eastAsia" w:ascii="黑体" w:hAnsi="黑体" w:eastAsia="黑体" w:cs="黑体"/>
          <w:snapToGrid w:val="0"/>
          <w:color w:val="auto"/>
          <w:sz w:val="32"/>
          <w:szCs w:val="32"/>
          <w:lang w:val="en-US" w:eastAsia="zh-CN"/>
        </w:rPr>
      </w:pPr>
    </w:p>
    <w:p>
      <w:pPr>
        <w:keepNext w:val="0"/>
        <w:keepLines w:val="0"/>
        <w:pageBreakBefore w:val="0"/>
        <w:widowControl w:val="0"/>
        <w:kinsoku/>
        <w:wordWrap/>
        <w:overflowPunct/>
        <w:topLinePunct w:val="0"/>
        <w:autoSpaceDE/>
        <w:autoSpaceDN/>
        <w:bidi w:val="0"/>
        <w:spacing w:beforeLines="0" w:line="600" w:lineRule="exact"/>
        <w:ind w:firstLine="640" w:firstLineChars="200"/>
        <w:textAlignment w:val="auto"/>
        <w:rPr>
          <w:rFonts w:hint="eastAsia" w:ascii="黑体" w:hAnsi="黑体" w:eastAsia="黑体" w:cs="黑体"/>
          <w:snapToGrid w:val="0"/>
          <w:color w:val="auto"/>
          <w:sz w:val="32"/>
          <w:szCs w:val="32"/>
          <w:lang w:val="en-US" w:eastAsia="zh-CN"/>
        </w:rPr>
      </w:pPr>
      <w:bookmarkStart w:id="0" w:name="_GoBack"/>
      <w:bookmarkEnd w:id="0"/>
      <w:r>
        <w:rPr>
          <w:rFonts w:hint="eastAsia" w:ascii="黑体" w:hAnsi="黑体" w:eastAsia="黑体" w:cs="黑体"/>
          <w:snapToGrid w:val="0"/>
          <w:color w:val="auto"/>
          <w:sz w:val="32"/>
          <w:szCs w:val="32"/>
          <w:lang w:val="en-US" w:eastAsia="zh-CN"/>
        </w:rPr>
        <w:t>附件</w:t>
      </w:r>
    </w:p>
    <w:p>
      <w:pPr>
        <w:keepNext w:val="0"/>
        <w:keepLines w:val="0"/>
        <w:pageBreakBefore w:val="0"/>
        <w:widowControl w:val="0"/>
        <w:kinsoku/>
        <w:wordWrap/>
        <w:overflowPunct/>
        <w:topLinePunct w:val="0"/>
        <w:autoSpaceDE/>
        <w:autoSpaceDN/>
        <w:bidi w:val="0"/>
        <w:spacing w:beforeLines="0" w:line="600" w:lineRule="exact"/>
        <w:textAlignment w:val="auto"/>
        <w:rPr>
          <w:rFonts w:hint="eastAsia" w:ascii="黑体" w:hAnsi="黑体" w:eastAsia="黑体" w:cs="黑体"/>
          <w:snapToGrid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Style w:val="6"/>
          <w:rFonts w:hint="eastAsia" w:ascii="方正小标宋简体" w:hAnsi="方正小标宋简体" w:eastAsia="方正小标宋简体" w:cs="方正小标宋简体"/>
          <w:color w:val="auto"/>
          <w:spacing w:val="0"/>
          <w:sz w:val="44"/>
          <w:szCs w:val="44"/>
          <w:u w:val="none"/>
        </w:rPr>
      </w:pPr>
      <w:r>
        <w:rPr>
          <w:rStyle w:val="6"/>
          <w:rFonts w:hint="eastAsia" w:ascii="方正小标宋简体" w:hAnsi="方正小标宋简体" w:eastAsia="方正小标宋简体" w:cs="方正小标宋简体"/>
          <w:color w:val="auto"/>
          <w:spacing w:val="0"/>
          <w:sz w:val="44"/>
          <w:szCs w:val="44"/>
          <w:u w:val="none"/>
        </w:rPr>
        <w:t>鲤城区水生态治理中心</w:t>
      </w: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Fonts w:ascii="Times New Roman" w:hAnsi="Times New Roman" w:eastAsia="方正小标宋简体" w:cs="方正小标宋简体"/>
          <w:color w:val="auto"/>
          <w:spacing w:val="-6"/>
          <w:sz w:val="44"/>
          <w:szCs w:val="44"/>
        </w:rPr>
      </w:pPr>
      <w:r>
        <w:rPr>
          <w:rFonts w:hint="eastAsia" w:ascii="Times New Roman" w:hAnsi="Times New Roman" w:eastAsia="方正小标宋简体" w:cs="方正小标宋简体"/>
          <w:color w:val="auto"/>
          <w:spacing w:val="-6"/>
          <w:sz w:val="44"/>
          <w:szCs w:val="44"/>
        </w:rPr>
        <w:t>国有土地上房屋征收补偿方案</w:t>
      </w: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hint="eastAsia"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Fonts w:ascii="Times New Roman" w:hAnsi="Times New Roman" w:eastAsia="黑体"/>
          <w:color w:val="auto"/>
          <w:spacing w:val="-6"/>
          <w:sz w:val="32"/>
          <w:szCs w:val="32"/>
        </w:rPr>
      </w:pPr>
    </w:p>
    <w:p>
      <w:pPr>
        <w:pStyle w:val="2"/>
        <w:keepNext w:val="0"/>
        <w:keepLines w:val="0"/>
        <w:pageBreakBefore w:val="0"/>
        <w:widowControl w:val="0"/>
        <w:kinsoku/>
        <w:wordWrap/>
        <w:topLinePunct w:val="0"/>
        <w:autoSpaceDE/>
        <w:autoSpaceDN/>
        <w:bidi w:val="0"/>
        <w:adjustRightInd/>
        <w:snapToGrid/>
        <w:spacing w:line="590" w:lineRule="exact"/>
        <w:textAlignment w:val="auto"/>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hint="eastAsia"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b/>
          <w:bCs/>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ascii="Times New Roman" w:hAnsi="Times New Roman" w:eastAsia="方正仿宋简体" w:cs="方正仿宋简体"/>
          <w:color w:val="auto"/>
          <w:spacing w:val="-6"/>
          <w:sz w:val="32"/>
          <w:szCs w:val="32"/>
        </w:rPr>
      </w:pP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Fonts w:ascii="Times New Roman" w:hAnsi="Times New Roman" w:eastAsia="方正仿宋简体" w:cs="方正仿宋简体"/>
          <w:bCs/>
          <w:color w:val="auto"/>
          <w:spacing w:val="-6"/>
          <w:sz w:val="32"/>
          <w:szCs w:val="32"/>
        </w:rPr>
      </w:pPr>
      <w:r>
        <w:rPr>
          <w:rFonts w:hint="eastAsia" w:ascii="Times New Roman" w:hAnsi="Times New Roman" w:eastAsia="方正仿宋简体" w:cs="方正仿宋简体"/>
          <w:bCs/>
          <w:color w:val="auto"/>
          <w:spacing w:val="-6"/>
          <w:sz w:val="32"/>
          <w:szCs w:val="32"/>
        </w:rPr>
        <w:t>泉州市鲤城区住房和城乡建设局</w:t>
      </w: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Fonts w:hint="default" w:ascii="Times New Roman" w:hAnsi="Times New Roman" w:eastAsia="方正仿宋简体" w:cs="方正仿宋简体"/>
          <w:bCs/>
          <w:color w:val="auto"/>
          <w:spacing w:val="-6"/>
          <w:sz w:val="32"/>
          <w:szCs w:val="32"/>
          <w:lang w:val="en-US" w:eastAsia="zh-CN"/>
        </w:rPr>
      </w:pPr>
      <w:r>
        <w:rPr>
          <w:rFonts w:hint="eastAsia" w:ascii="Times New Roman" w:hAnsi="Times New Roman" w:eastAsia="方正仿宋简体" w:cs="方正仿宋简体"/>
          <w:bCs/>
          <w:color w:val="auto"/>
          <w:spacing w:val="-6"/>
          <w:sz w:val="32"/>
          <w:szCs w:val="32"/>
        </w:rPr>
        <w:t>2023年</w:t>
      </w:r>
      <w:r>
        <w:rPr>
          <w:rFonts w:hint="eastAsia" w:ascii="Times New Roman" w:hAnsi="Times New Roman" w:eastAsia="方正仿宋简体" w:cs="方正仿宋简体"/>
          <w:bCs/>
          <w:color w:val="auto"/>
          <w:spacing w:val="-6"/>
          <w:sz w:val="32"/>
          <w:szCs w:val="32"/>
          <w:lang w:val="en-US" w:eastAsia="zh-CN"/>
        </w:rPr>
        <w:t>1</w:t>
      </w:r>
      <w:r>
        <w:rPr>
          <w:rFonts w:hint="eastAsia" w:eastAsia="方正仿宋简体" w:cs="方正仿宋简体"/>
          <w:bCs/>
          <w:color w:val="auto"/>
          <w:spacing w:val="-6"/>
          <w:sz w:val="32"/>
          <w:szCs w:val="32"/>
          <w:lang w:val="en-US" w:eastAsia="zh-CN"/>
        </w:rPr>
        <w:t>2</w:t>
      </w:r>
      <w:r>
        <w:rPr>
          <w:rFonts w:hint="eastAsia" w:ascii="Times New Roman" w:hAnsi="Times New Roman" w:eastAsia="方正仿宋简体" w:cs="方正仿宋简体"/>
          <w:bCs/>
          <w:color w:val="auto"/>
          <w:spacing w:val="-6"/>
          <w:sz w:val="32"/>
          <w:szCs w:val="32"/>
          <w:lang w:val="en-US" w:eastAsia="zh-CN"/>
        </w:rPr>
        <w:t>月</w:t>
      </w:r>
    </w:p>
    <w:p>
      <w:pPr>
        <w:keepNext w:val="0"/>
        <w:keepLines w:val="0"/>
        <w:pageBreakBefore w:val="0"/>
        <w:widowControl w:val="0"/>
        <w:kinsoku/>
        <w:wordWrap/>
        <w:overflowPunct w:val="0"/>
        <w:topLinePunct w:val="0"/>
        <w:autoSpaceDE/>
        <w:autoSpaceDN/>
        <w:bidi w:val="0"/>
        <w:adjustRightInd/>
        <w:snapToGrid/>
        <w:spacing w:line="590" w:lineRule="exact"/>
        <w:ind w:firstLine="664" w:firstLineChars="200"/>
        <w:textAlignment w:val="auto"/>
        <w:rPr>
          <w:rStyle w:val="6"/>
          <w:rFonts w:hint="eastAsia" w:ascii="Times New Roman" w:hAnsi="Times New Roman" w:eastAsia="方正仿宋简体" w:cs="方正仿宋简体"/>
          <w:color w:val="auto"/>
          <w:spacing w:val="6"/>
          <w:sz w:val="32"/>
          <w:szCs w:val="32"/>
        </w:rPr>
        <w:sectPr>
          <w:footerReference r:id="rId3" w:type="default"/>
          <w:pgSz w:w="11906" w:h="16838"/>
          <w:pgMar w:top="1928" w:right="1474" w:bottom="1701" w:left="1587" w:header="851" w:footer="992" w:gutter="0"/>
          <w:pgNumType w:fmt="decimal"/>
          <w:cols w:space="720" w:num="1"/>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Style w:val="6"/>
          <w:rFonts w:ascii="Times New Roman" w:hAnsi="Times New Roman" w:eastAsia="方正仿宋简体" w:cs="方正仿宋简体"/>
          <w:color w:val="auto"/>
          <w:spacing w:val="0"/>
          <w:sz w:val="32"/>
          <w:szCs w:val="32"/>
        </w:rPr>
      </w:pPr>
      <w:r>
        <w:rPr>
          <w:rStyle w:val="6"/>
          <w:rFonts w:hint="eastAsia" w:ascii="Times New Roman" w:hAnsi="Times New Roman" w:eastAsia="方正仿宋简体" w:cs="方正仿宋简体"/>
          <w:color w:val="auto"/>
          <w:spacing w:val="0"/>
          <w:sz w:val="32"/>
          <w:szCs w:val="32"/>
        </w:rPr>
        <w:t>根据《国有土地上房屋征收与补偿条例》（国务院令第590号）、《福建省实施&lt;国有土地上房屋征收与补偿条例&gt;办法》（福建省人民政府令第138号）、《泉州市国有土地上房屋征收与补偿规定》（泉政文〔2020〕6号）和《泉州市人民政府办公室关于印发在中心市区国有土地上对未经登记建筑调查认定处理意见和实施房屋征收补偿指导意见的通知》（泉政办〔2015〕112号）、《泉州市住房和城乡建设局 泉州市自然资源和规划局关于推广定向定价商</w:t>
      </w:r>
      <w:r>
        <w:rPr>
          <w:rStyle w:val="6"/>
          <w:rFonts w:hint="eastAsia" w:ascii="Times New Roman" w:hAnsi="Times New Roman" w:eastAsia="方正仿宋简体" w:cs="方正仿宋简体"/>
          <w:color w:val="auto"/>
          <w:spacing w:val="0"/>
          <w:sz w:val="32"/>
          <w:szCs w:val="32"/>
          <w:u w:val="none"/>
        </w:rPr>
        <w:t>品房安置模式的通知》（泉建规〔2023〕2号）等相关</w:t>
      </w:r>
      <w:r>
        <w:rPr>
          <w:rStyle w:val="6"/>
          <w:rFonts w:hint="eastAsia" w:eastAsia="方正仿宋简体" w:cs="方正仿宋简体"/>
          <w:color w:val="auto"/>
          <w:spacing w:val="0"/>
          <w:sz w:val="32"/>
          <w:szCs w:val="32"/>
          <w:u w:val="none"/>
          <w:lang w:eastAsia="zh-CN"/>
        </w:rPr>
        <w:t>法律法规</w:t>
      </w:r>
      <w:r>
        <w:rPr>
          <w:rStyle w:val="6"/>
          <w:rFonts w:hint="eastAsia" w:ascii="Times New Roman" w:hAnsi="Times New Roman" w:eastAsia="方正仿宋简体" w:cs="方正仿宋简体"/>
          <w:color w:val="auto"/>
          <w:spacing w:val="0"/>
          <w:sz w:val="32"/>
          <w:szCs w:val="32"/>
          <w:u w:val="none"/>
        </w:rPr>
        <w:t>及配套政策</w:t>
      </w:r>
      <w:r>
        <w:rPr>
          <w:rStyle w:val="6"/>
          <w:rFonts w:hint="eastAsia" w:ascii="Times New Roman" w:hAnsi="Times New Roman" w:eastAsia="方正仿宋简体" w:cs="方正仿宋简体"/>
          <w:color w:val="auto"/>
          <w:spacing w:val="0"/>
          <w:sz w:val="32"/>
          <w:szCs w:val="32"/>
          <w:u w:val="none"/>
          <w:lang w:eastAsia="zh-CN"/>
        </w:rPr>
        <w:t>，</w:t>
      </w:r>
      <w:r>
        <w:rPr>
          <w:rStyle w:val="6"/>
          <w:rFonts w:hint="eastAsia" w:ascii="Times New Roman" w:hAnsi="Times New Roman" w:eastAsia="方正仿宋简体" w:cs="方正仿宋简体"/>
          <w:color w:val="auto"/>
          <w:spacing w:val="0"/>
          <w:sz w:val="32"/>
          <w:szCs w:val="32"/>
          <w:highlight w:val="none"/>
        </w:rPr>
        <w:t>为</w:t>
      </w:r>
      <w:r>
        <w:rPr>
          <w:rStyle w:val="6"/>
          <w:rFonts w:hint="eastAsia" w:ascii="Times New Roman" w:hAnsi="Times New Roman" w:eastAsia="方正仿宋简体" w:cs="方正仿宋简体"/>
          <w:color w:val="auto"/>
          <w:spacing w:val="0"/>
          <w:sz w:val="32"/>
          <w:szCs w:val="32"/>
          <w:highlight w:val="none"/>
          <w:lang w:val="en-US" w:eastAsia="zh-CN"/>
        </w:rPr>
        <w:t>进一步</w:t>
      </w:r>
      <w:r>
        <w:rPr>
          <w:rFonts w:hint="eastAsia" w:ascii="方正仿宋简体" w:hAnsi="方正仿宋简体" w:eastAsia="方正仿宋简体" w:cs="方正仿宋简体"/>
          <w:color w:val="auto"/>
          <w:w w:val="100"/>
          <w:sz w:val="32"/>
          <w:szCs w:val="32"/>
        </w:rPr>
        <w:t>完善江南</w:t>
      </w:r>
      <w:r>
        <w:rPr>
          <w:rFonts w:hint="eastAsia" w:ascii="方正仿宋简体" w:hAnsi="方正仿宋简体" w:eastAsia="方正仿宋简体" w:cs="方正仿宋简体"/>
          <w:color w:val="auto"/>
          <w:w w:val="100"/>
          <w:sz w:val="32"/>
          <w:szCs w:val="32"/>
          <w:lang w:val="en-US" w:eastAsia="zh-CN"/>
        </w:rPr>
        <w:t>片</w:t>
      </w:r>
      <w:r>
        <w:rPr>
          <w:rFonts w:hint="eastAsia" w:ascii="方正仿宋简体" w:hAnsi="方正仿宋简体" w:eastAsia="方正仿宋简体" w:cs="方正仿宋简体"/>
          <w:color w:val="auto"/>
          <w:w w:val="100"/>
          <w:sz w:val="32"/>
          <w:szCs w:val="32"/>
        </w:rPr>
        <w:t>区生态环境配套设施、提升江南</w:t>
      </w:r>
      <w:r>
        <w:rPr>
          <w:rFonts w:hint="eastAsia" w:ascii="方正仿宋简体" w:hAnsi="方正仿宋简体" w:eastAsia="方正仿宋简体" w:cs="方正仿宋简体"/>
          <w:color w:val="auto"/>
          <w:w w:val="100"/>
          <w:sz w:val="32"/>
          <w:szCs w:val="32"/>
          <w:lang w:val="en-US" w:eastAsia="zh-CN"/>
        </w:rPr>
        <w:t>片</w:t>
      </w:r>
      <w:r>
        <w:rPr>
          <w:rFonts w:hint="eastAsia" w:ascii="方正仿宋简体" w:hAnsi="方正仿宋简体" w:eastAsia="方正仿宋简体" w:cs="方正仿宋简体"/>
          <w:color w:val="auto"/>
          <w:w w:val="100"/>
          <w:sz w:val="32"/>
          <w:szCs w:val="32"/>
        </w:rPr>
        <w:t>区</w:t>
      </w:r>
      <w:r>
        <w:rPr>
          <w:rFonts w:hint="eastAsia" w:ascii="方正仿宋简体" w:hAnsi="方正仿宋简体" w:eastAsia="方正仿宋简体" w:cs="方正仿宋简体"/>
          <w:color w:val="auto"/>
          <w:w w:val="100"/>
          <w:sz w:val="32"/>
          <w:szCs w:val="32"/>
          <w:lang w:val="en-US" w:eastAsia="zh-CN"/>
        </w:rPr>
        <w:t>的</w:t>
      </w:r>
      <w:r>
        <w:rPr>
          <w:rFonts w:hint="eastAsia" w:ascii="方正仿宋简体" w:hAnsi="方正仿宋简体" w:eastAsia="方正仿宋简体" w:cs="方正仿宋简体"/>
          <w:color w:val="auto"/>
          <w:w w:val="100"/>
          <w:sz w:val="32"/>
          <w:szCs w:val="32"/>
        </w:rPr>
        <w:t>环境承载能力</w:t>
      </w:r>
      <w:r>
        <w:rPr>
          <w:rStyle w:val="6"/>
          <w:rFonts w:hint="eastAsia" w:ascii="Times New Roman" w:hAnsi="Times New Roman" w:eastAsia="方正仿宋简体" w:cs="方正仿宋简体"/>
          <w:color w:val="auto"/>
          <w:spacing w:val="0"/>
          <w:sz w:val="32"/>
          <w:szCs w:val="32"/>
          <w:highlight w:val="none"/>
        </w:rPr>
        <w:t>，</w:t>
      </w:r>
      <w:r>
        <w:rPr>
          <w:rStyle w:val="6"/>
          <w:rFonts w:hint="eastAsia" w:ascii="Times New Roman" w:hAnsi="Times New Roman" w:eastAsia="方正仿宋简体" w:cs="方正仿宋简体"/>
          <w:color w:val="auto"/>
          <w:spacing w:val="0"/>
          <w:sz w:val="32"/>
          <w:szCs w:val="32"/>
          <w:u w:val="none"/>
        </w:rPr>
        <w:t>经中共鲤城区委、鲤城区人民政府批准，决定组织实施鲤城区水生态治理中心</w:t>
      </w:r>
      <w:r>
        <w:rPr>
          <w:rStyle w:val="6"/>
          <w:rFonts w:hint="eastAsia" w:ascii="Times New Roman" w:hAnsi="Times New Roman" w:eastAsia="方正仿宋简体" w:cs="方正仿宋简体"/>
          <w:color w:val="auto"/>
          <w:spacing w:val="0"/>
          <w:sz w:val="32"/>
          <w:szCs w:val="32"/>
          <w:u w:val="none"/>
          <w:lang w:val="en-US" w:eastAsia="zh-CN"/>
        </w:rPr>
        <w:t>项目</w:t>
      </w:r>
      <w:r>
        <w:rPr>
          <w:rStyle w:val="6"/>
          <w:rFonts w:hint="eastAsia" w:ascii="Times New Roman" w:hAnsi="Times New Roman" w:eastAsia="方正仿宋简体" w:cs="方正仿宋简体"/>
          <w:color w:val="auto"/>
          <w:spacing w:val="0"/>
          <w:sz w:val="32"/>
          <w:szCs w:val="32"/>
          <w:u w:val="none"/>
          <w:lang w:eastAsia="zh-CN"/>
        </w:rPr>
        <w:t>。</w:t>
      </w:r>
      <w:r>
        <w:rPr>
          <w:rFonts w:hint="eastAsia" w:ascii="Times New Roman" w:hAnsi="Times New Roman" w:eastAsia="方正仿宋简体" w:cs="方正仿宋简体"/>
          <w:color w:val="auto"/>
          <w:spacing w:val="-6"/>
          <w:sz w:val="32"/>
          <w:szCs w:val="32"/>
          <w:u w:val="none"/>
        </w:rPr>
        <w:t>本着积极稳妥推进房屋征收补偿安置工作，保障被</w:t>
      </w:r>
      <w:r>
        <w:rPr>
          <w:rFonts w:hint="eastAsia" w:ascii="Times New Roman" w:hAnsi="Times New Roman" w:eastAsia="方正仿宋简体" w:cs="方正仿宋简体"/>
          <w:color w:val="auto"/>
          <w:spacing w:val="-6"/>
          <w:sz w:val="32"/>
          <w:szCs w:val="32"/>
        </w:rPr>
        <w:t>征收房屋所有权人合法权益</w:t>
      </w:r>
      <w:r>
        <w:rPr>
          <w:rFonts w:hint="eastAsia" w:ascii="Times New Roman" w:hAnsi="Times New Roman" w:eastAsia="方正仿宋简体" w:cs="方正仿宋简体"/>
          <w:color w:val="auto"/>
          <w:spacing w:val="-6"/>
          <w:sz w:val="32"/>
          <w:szCs w:val="32"/>
          <w:lang w:val="en-US" w:eastAsia="zh-CN"/>
        </w:rPr>
        <w:t>的原则</w:t>
      </w:r>
      <w:r>
        <w:rPr>
          <w:rFonts w:hint="eastAsia" w:ascii="Times New Roman" w:hAnsi="Times New Roman" w:eastAsia="方正仿宋简体" w:cs="方正仿宋简体"/>
          <w:color w:val="auto"/>
          <w:spacing w:val="-6"/>
          <w:sz w:val="32"/>
          <w:szCs w:val="32"/>
        </w:rPr>
        <w:t>，</w:t>
      </w:r>
      <w:r>
        <w:rPr>
          <w:rStyle w:val="6"/>
          <w:rFonts w:hint="eastAsia" w:ascii="Times New Roman" w:hAnsi="Times New Roman" w:eastAsia="方正仿宋简体" w:cs="方正仿宋简体"/>
          <w:color w:val="auto"/>
          <w:spacing w:val="-6"/>
          <w:sz w:val="32"/>
          <w:szCs w:val="32"/>
        </w:rPr>
        <w:t>结合区域实际情况，制定本方案。</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auto"/>
        <w:rPr>
          <w:rFonts w:hint="eastAsia" w:ascii="Times New Roman" w:hAnsi="Times New Roman" w:eastAsia="黑体" w:cs="黑体"/>
          <w:color w:val="auto"/>
          <w:spacing w:val="0"/>
          <w:kern w:val="2"/>
          <w:sz w:val="32"/>
          <w:szCs w:val="32"/>
          <w:lang w:val="en-US" w:eastAsia="zh-CN" w:bidi="ar-SA"/>
        </w:rPr>
      </w:pPr>
    </w:p>
    <w:p>
      <w:pPr>
        <w:keepNext w:val="0"/>
        <w:keepLines w:val="0"/>
        <w:pageBreakBefore w:val="0"/>
        <w:widowControl w:val="0"/>
        <w:numPr>
          <w:ilvl w:val="0"/>
          <w:numId w:val="1"/>
        </w:numPr>
        <w:kinsoku/>
        <w:wordWrap/>
        <w:overflowPunct w:val="0"/>
        <w:topLinePunct w:val="0"/>
        <w:autoSpaceDE/>
        <w:autoSpaceDN/>
        <w:bidi w:val="0"/>
        <w:adjustRightInd/>
        <w:snapToGrid/>
        <w:spacing w:line="590" w:lineRule="exact"/>
        <w:jc w:val="center"/>
        <w:textAlignment w:val="auto"/>
        <w:rPr>
          <w:rStyle w:val="6"/>
          <w:rFonts w:hint="eastAsia" w:ascii="Times New Roman" w:hAnsi="Times New Roman" w:eastAsia="黑体" w:cs="黑体"/>
          <w:color w:val="auto"/>
          <w:spacing w:val="0"/>
          <w:sz w:val="32"/>
          <w:szCs w:val="32"/>
        </w:rPr>
      </w:pPr>
      <w:r>
        <w:rPr>
          <w:rStyle w:val="6"/>
          <w:rFonts w:hint="eastAsia" w:ascii="Times New Roman" w:hAnsi="Times New Roman" w:eastAsia="黑体" w:cs="黑体"/>
          <w:color w:val="auto"/>
          <w:spacing w:val="0"/>
          <w:sz w:val="32"/>
          <w:szCs w:val="32"/>
          <w:lang w:val="en-US" w:eastAsia="zh-CN"/>
        </w:rPr>
        <w:t xml:space="preserve"> </w:t>
      </w:r>
      <w:r>
        <w:rPr>
          <w:rStyle w:val="6"/>
          <w:rFonts w:hint="eastAsia" w:ascii="Times New Roman" w:hAnsi="Times New Roman" w:eastAsia="黑体" w:cs="黑体"/>
          <w:color w:val="auto"/>
          <w:spacing w:val="0"/>
          <w:sz w:val="32"/>
          <w:szCs w:val="32"/>
        </w:rPr>
        <w:t>总</w:t>
      </w:r>
      <w:r>
        <w:rPr>
          <w:rStyle w:val="6"/>
          <w:rFonts w:hint="eastAsia" w:ascii="Times New Roman" w:hAnsi="Times New Roman" w:eastAsia="黑体" w:cs="黑体"/>
          <w:color w:val="auto"/>
          <w:spacing w:val="0"/>
          <w:sz w:val="32"/>
          <w:szCs w:val="32"/>
          <w:lang w:val="en-US" w:eastAsia="zh-CN"/>
        </w:rPr>
        <w:t xml:space="preserve"> </w:t>
      </w:r>
      <w:r>
        <w:rPr>
          <w:rStyle w:val="6"/>
          <w:rFonts w:hint="eastAsia" w:ascii="Times New Roman" w:hAnsi="Times New Roman" w:eastAsia="黑体" w:cs="黑体"/>
          <w:color w:val="auto"/>
          <w:spacing w:val="0"/>
          <w:sz w:val="32"/>
          <w:szCs w:val="32"/>
        </w:rPr>
        <w:t>则</w:t>
      </w:r>
    </w:p>
    <w:p>
      <w:pPr>
        <w:pStyle w:val="2"/>
        <w:numPr>
          <w:ilvl w:val="0"/>
          <w:numId w:val="1"/>
        </w:numPr>
        <w:rPr>
          <w:color w:val="auto"/>
        </w:rPr>
      </w:pPr>
    </w:p>
    <w:p>
      <w:pPr>
        <w:keepNext w:val="0"/>
        <w:keepLines w:val="0"/>
        <w:pageBreakBefore w:val="0"/>
        <w:widowControl w:val="0"/>
        <w:kinsoku/>
        <w:wordWrap/>
        <w:overflowPunct w:val="0"/>
        <w:topLinePunct w:val="0"/>
        <w:autoSpaceDE/>
        <w:autoSpaceDN/>
        <w:bidi w:val="0"/>
        <w:adjustRightInd/>
        <w:snapToGrid/>
        <w:spacing w:line="590" w:lineRule="exact"/>
        <w:ind w:firstLine="643" w:firstLineChars="200"/>
        <w:jc w:val="both"/>
        <w:textAlignment w:val="auto"/>
        <w:rPr>
          <w:rStyle w:val="6"/>
          <w:rFonts w:ascii="Times New Roman" w:hAnsi="Times New Roman" w:eastAsia="方正仿宋简体" w:cs="方正仿宋简体"/>
          <w:b/>
          <w:bCs/>
          <w:color w:val="auto"/>
          <w:spacing w:val="0"/>
          <w:sz w:val="32"/>
          <w:szCs w:val="32"/>
        </w:rPr>
      </w:pPr>
      <w:r>
        <w:rPr>
          <w:rStyle w:val="6"/>
          <w:rFonts w:hint="eastAsia" w:ascii="Times New Roman" w:hAnsi="Times New Roman" w:eastAsia="方正仿宋简体" w:cs="方正仿宋简体"/>
          <w:b/>
          <w:bCs/>
          <w:color w:val="auto"/>
          <w:spacing w:val="0"/>
          <w:sz w:val="32"/>
          <w:szCs w:val="32"/>
        </w:rPr>
        <w:t>第一条 征收范围</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ascii="Times New Roman" w:hAnsi="Times New Roman" w:eastAsia="方正仿宋简体" w:cs="方正仿宋简体"/>
          <w:color w:val="auto"/>
          <w:spacing w:val="0"/>
          <w:sz w:val="32"/>
          <w:szCs w:val="32"/>
        </w:rPr>
      </w:pPr>
      <w:r>
        <w:rPr>
          <w:rStyle w:val="6"/>
          <w:rFonts w:hint="eastAsia" w:ascii="Times New Roman" w:hAnsi="Times New Roman" w:eastAsia="方正仿宋简体" w:cs="方正仿宋简体"/>
          <w:color w:val="auto"/>
          <w:spacing w:val="0"/>
          <w:sz w:val="32"/>
          <w:szCs w:val="32"/>
        </w:rPr>
        <w:t>位于</w:t>
      </w:r>
      <w:r>
        <w:rPr>
          <w:rStyle w:val="6"/>
          <w:rFonts w:hint="eastAsia" w:ascii="Times New Roman" w:hAnsi="Times New Roman" w:eastAsia="方正仿宋简体" w:cs="方正仿宋简体"/>
          <w:color w:val="auto"/>
          <w:spacing w:val="0"/>
          <w:sz w:val="32"/>
          <w:szCs w:val="32"/>
          <w:u w:val="none"/>
        </w:rPr>
        <w:t>浮桥街道金浦社区</w:t>
      </w:r>
      <w:r>
        <w:rPr>
          <w:rStyle w:val="6"/>
          <w:rFonts w:hint="eastAsia" w:ascii="Times New Roman" w:hAnsi="Times New Roman" w:eastAsia="方正仿宋简体" w:cs="方正仿宋简体"/>
          <w:color w:val="auto"/>
          <w:spacing w:val="0"/>
          <w:sz w:val="32"/>
          <w:szCs w:val="32"/>
          <w:u w:val="none"/>
          <w:lang w:eastAsia="zh-CN"/>
        </w:rPr>
        <w:t>、</w:t>
      </w:r>
      <w:r>
        <w:rPr>
          <w:rStyle w:val="6"/>
          <w:rFonts w:hint="eastAsia" w:ascii="Times New Roman" w:hAnsi="Times New Roman" w:eastAsia="方正仿宋简体" w:cs="方正仿宋简体"/>
          <w:color w:val="auto"/>
          <w:spacing w:val="0"/>
          <w:sz w:val="32"/>
          <w:szCs w:val="32"/>
          <w:u w:val="none"/>
          <w:lang w:val="en-US" w:eastAsia="zh-CN"/>
        </w:rPr>
        <w:t>黄石社区</w:t>
      </w:r>
      <w:r>
        <w:rPr>
          <w:rStyle w:val="6"/>
          <w:rFonts w:hint="eastAsia" w:ascii="Times New Roman" w:hAnsi="Times New Roman" w:eastAsia="方正仿宋简体" w:cs="方正仿宋简体"/>
          <w:color w:val="auto"/>
          <w:spacing w:val="0"/>
          <w:sz w:val="32"/>
          <w:szCs w:val="32"/>
          <w:u w:val="none"/>
        </w:rPr>
        <w:t>，</w:t>
      </w:r>
      <w:r>
        <w:rPr>
          <w:rStyle w:val="6"/>
          <w:rFonts w:hint="eastAsia" w:ascii="Times New Roman" w:hAnsi="Times New Roman" w:eastAsia="方正仿宋简体" w:cs="方正仿宋简体"/>
          <w:color w:val="auto"/>
          <w:spacing w:val="0"/>
          <w:sz w:val="32"/>
          <w:szCs w:val="32"/>
        </w:rPr>
        <w:t>具体范围以经泉州市自然资源和规划局核对符合城市规划要求的征收范围图为准。</w:t>
      </w:r>
    </w:p>
    <w:p>
      <w:pPr>
        <w:keepNext w:val="0"/>
        <w:keepLines w:val="0"/>
        <w:pageBreakBefore w:val="0"/>
        <w:widowControl w:val="0"/>
        <w:kinsoku/>
        <w:wordWrap/>
        <w:overflowPunct w:val="0"/>
        <w:topLinePunct w:val="0"/>
        <w:autoSpaceDE/>
        <w:autoSpaceDN/>
        <w:bidi w:val="0"/>
        <w:adjustRightInd/>
        <w:snapToGrid/>
        <w:spacing w:line="590" w:lineRule="exact"/>
        <w:ind w:firstLine="643" w:firstLineChars="200"/>
        <w:jc w:val="both"/>
        <w:textAlignment w:val="auto"/>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第二条 征收组织实施机构</w:t>
      </w:r>
    </w:p>
    <w:p>
      <w:pPr>
        <w:keepNext w:val="0"/>
        <w:keepLines w:val="0"/>
        <w:pageBreakBefore w:val="0"/>
        <w:widowControl w:val="0"/>
        <w:kinsoku/>
        <w:wordWrap/>
        <w:overflowPunct w:val="0"/>
        <w:topLinePunct w:val="0"/>
        <w:autoSpaceDE/>
        <w:autoSpaceDN/>
        <w:bidi w:val="0"/>
        <w:adjustRightInd/>
        <w:snapToGrid/>
        <w:spacing w:line="590" w:lineRule="exact"/>
        <w:ind w:firstLine="643" w:firstLineChars="200"/>
        <w:jc w:val="both"/>
        <w:textAlignment w:val="auto"/>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（一）房屋征收部门</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泉州市鲤城区住房和城乡建设局</w:t>
      </w:r>
    </w:p>
    <w:p>
      <w:pPr>
        <w:keepNext w:val="0"/>
        <w:keepLines w:val="0"/>
        <w:pageBreakBefore w:val="0"/>
        <w:widowControl w:val="0"/>
        <w:kinsoku/>
        <w:wordWrap/>
        <w:overflowPunct w:val="0"/>
        <w:topLinePunct w:val="0"/>
        <w:autoSpaceDE/>
        <w:autoSpaceDN/>
        <w:bidi w:val="0"/>
        <w:adjustRightInd/>
        <w:snapToGrid/>
        <w:spacing w:line="570" w:lineRule="exact"/>
        <w:ind w:firstLine="643" w:firstLineChars="200"/>
        <w:jc w:val="both"/>
        <w:textAlignment w:val="auto"/>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（二）征收实施单位</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Style w:val="6"/>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color w:val="auto"/>
          <w:spacing w:val="0"/>
          <w:sz w:val="32"/>
          <w:szCs w:val="32"/>
        </w:rPr>
        <w:t>按属地原则，由项目所在地泉州市鲤城区人民政府浮桥街道办事处承担房屋征收与补偿的具体工作。</w:t>
      </w:r>
    </w:p>
    <w:p>
      <w:pPr>
        <w:keepNext w:val="0"/>
        <w:keepLines w:val="0"/>
        <w:pageBreakBefore w:val="0"/>
        <w:widowControl w:val="0"/>
        <w:kinsoku/>
        <w:wordWrap/>
        <w:overflowPunct w:val="0"/>
        <w:topLinePunct w:val="0"/>
        <w:autoSpaceDE/>
        <w:autoSpaceDN/>
        <w:bidi w:val="0"/>
        <w:adjustRightInd/>
        <w:snapToGrid/>
        <w:spacing w:line="570" w:lineRule="exact"/>
        <w:ind w:firstLine="643" w:firstLineChars="200"/>
        <w:jc w:val="both"/>
        <w:textAlignment w:val="auto"/>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第三条 签约期限</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Style w:val="6"/>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color w:val="auto"/>
          <w:spacing w:val="0"/>
          <w:sz w:val="32"/>
          <w:szCs w:val="32"/>
        </w:rPr>
        <w:t>签订协议及搬迁期限以鲤城区人民政府发布的征收公告规定的时间为准。</w:t>
      </w:r>
    </w:p>
    <w:p>
      <w:pPr>
        <w:keepNext w:val="0"/>
        <w:keepLines w:val="0"/>
        <w:pageBreakBefore w:val="0"/>
        <w:widowControl w:val="0"/>
        <w:numPr>
          <w:ilvl w:val="0"/>
          <w:numId w:val="2"/>
        </w:numPr>
        <w:kinsoku/>
        <w:wordWrap/>
        <w:overflowPunct w:val="0"/>
        <w:topLinePunct w:val="0"/>
        <w:autoSpaceDE/>
        <w:autoSpaceDN/>
        <w:bidi w:val="0"/>
        <w:adjustRightInd/>
        <w:snapToGrid/>
        <w:spacing w:line="570" w:lineRule="exact"/>
        <w:ind w:firstLine="643" w:firstLineChars="200"/>
        <w:jc w:val="both"/>
        <w:textAlignment w:val="auto"/>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安置地点</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b/>
          <w:bCs/>
          <w:color w:val="auto"/>
          <w:spacing w:val="0"/>
          <w:sz w:val="32"/>
          <w:szCs w:val="32"/>
          <w:u w:val="none"/>
        </w:rPr>
      </w:pPr>
      <w:r>
        <w:rPr>
          <w:rFonts w:hint="eastAsia" w:ascii="Times New Roman" w:hAnsi="Times New Roman" w:eastAsia="方正仿宋简体" w:cs="方正仿宋简体"/>
          <w:color w:val="auto"/>
          <w:spacing w:val="0"/>
          <w:sz w:val="32"/>
          <w:szCs w:val="32"/>
          <w:u w:val="none"/>
          <w:lang w:val="en-US" w:eastAsia="zh-CN"/>
        </w:rPr>
        <w:t>就近</w:t>
      </w:r>
      <w:r>
        <w:rPr>
          <w:rFonts w:hint="eastAsia" w:ascii="Times New Roman" w:hAnsi="Times New Roman" w:eastAsia="方正仿宋简体" w:cs="方正仿宋简体"/>
          <w:color w:val="auto"/>
          <w:spacing w:val="0"/>
          <w:sz w:val="32"/>
          <w:szCs w:val="32"/>
          <w:u w:val="none"/>
        </w:rPr>
        <w:t>指定区域新建定向定价商品房。</w:t>
      </w:r>
    </w:p>
    <w:p>
      <w:pPr>
        <w:keepNext w:val="0"/>
        <w:keepLines w:val="0"/>
        <w:pageBreakBefore w:val="0"/>
        <w:widowControl w:val="0"/>
        <w:kinsoku/>
        <w:wordWrap/>
        <w:overflowPunct w:val="0"/>
        <w:topLinePunct w:val="0"/>
        <w:autoSpaceDE/>
        <w:autoSpaceDN/>
        <w:bidi w:val="0"/>
        <w:spacing w:line="570" w:lineRule="exact"/>
        <w:ind w:firstLine="643" w:firstLineChars="200"/>
        <w:jc w:val="both"/>
        <w:rPr>
          <w:rStyle w:val="6"/>
          <w:rFonts w:ascii="Times New Roman" w:hAnsi="Times New Roman" w:eastAsia="方正仿宋简体" w:cs="方正仿宋简体"/>
          <w:b/>
          <w:bCs/>
          <w:color w:val="auto"/>
          <w:spacing w:val="0"/>
          <w:sz w:val="32"/>
          <w:szCs w:val="32"/>
        </w:rPr>
      </w:pPr>
      <w:r>
        <w:rPr>
          <w:rStyle w:val="6"/>
          <w:rFonts w:hint="eastAsia" w:ascii="Times New Roman" w:hAnsi="Times New Roman" w:eastAsia="方正仿宋简体" w:cs="方正仿宋简体"/>
          <w:b/>
          <w:bCs/>
          <w:color w:val="auto"/>
          <w:spacing w:val="0"/>
          <w:sz w:val="32"/>
          <w:szCs w:val="32"/>
        </w:rPr>
        <w:t>第五条 征收补偿对象及补偿方式</w:t>
      </w:r>
    </w:p>
    <w:p>
      <w:pPr>
        <w:keepNext w:val="0"/>
        <w:keepLines w:val="0"/>
        <w:pageBreakBefore w:val="0"/>
        <w:widowControl w:val="0"/>
        <w:kinsoku/>
        <w:wordWrap/>
        <w:overflowPunct w:val="0"/>
        <w:topLinePunct w:val="0"/>
        <w:autoSpaceDE/>
        <w:autoSpaceDN/>
        <w:bidi w:val="0"/>
        <w:spacing w:line="570" w:lineRule="exact"/>
        <w:ind w:firstLine="643" w:firstLineChars="200"/>
        <w:jc w:val="both"/>
        <w:rPr>
          <w:rStyle w:val="6"/>
          <w:rFonts w:ascii="Times New Roman" w:hAnsi="Times New Roman" w:eastAsia="方正仿宋简体" w:cs="方正仿宋简体"/>
          <w:color w:val="auto"/>
          <w:spacing w:val="0"/>
          <w:sz w:val="32"/>
          <w:szCs w:val="32"/>
        </w:rPr>
      </w:pPr>
      <w:r>
        <w:rPr>
          <w:rStyle w:val="6"/>
          <w:rFonts w:hint="eastAsia" w:ascii="Times New Roman" w:hAnsi="Times New Roman" w:eastAsia="方正仿宋简体" w:cs="方正仿宋简体"/>
          <w:b/>
          <w:bCs/>
          <w:color w:val="auto"/>
          <w:spacing w:val="0"/>
          <w:sz w:val="32"/>
          <w:szCs w:val="32"/>
        </w:rPr>
        <w:t>（一）补</w:t>
      </w:r>
      <w:r>
        <w:rPr>
          <w:rStyle w:val="6"/>
          <w:rFonts w:hint="eastAsia" w:ascii="Times New Roman" w:hAnsi="Times New Roman" w:eastAsia="方正仿宋简体" w:cs="方正仿宋简体"/>
          <w:b/>
          <w:bCs/>
          <w:color w:val="auto"/>
          <w:spacing w:val="-6"/>
          <w:sz w:val="32"/>
          <w:szCs w:val="32"/>
        </w:rPr>
        <w:t>偿对象：</w:t>
      </w:r>
      <w:r>
        <w:rPr>
          <w:rStyle w:val="6"/>
          <w:rFonts w:hint="eastAsia" w:ascii="Times New Roman" w:hAnsi="Times New Roman" w:eastAsia="方正仿宋简体" w:cs="方正仿宋简体"/>
          <w:color w:val="auto"/>
          <w:spacing w:val="-6"/>
          <w:sz w:val="32"/>
          <w:szCs w:val="32"/>
        </w:rPr>
        <w:t>凡在本征收范围内被征收房屋的所有权人为被征收人。由房屋征收部门与被征收人签订征收补偿安置协议。</w:t>
      </w:r>
    </w:p>
    <w:p>
      <w:pPr>
        <w:keepNext w:val="0"/>
        <w:keepLines w:val="0"/>
        <w:pageBreakBefore w:val="0"/>
        <w:widowControl w:val="0"/>
        <w:kinsoku/>
        <w:wordWrap/>
        <w:overflowPunct w:val="0"/>
        <w:topLinePunct w:val="0"/>
        <w:autoSpaceDE/>
        <w:autoSpaceDN/>
        <w:bidi w:val="0"/>
        <w:spacing w:line="570" w:lineRule="exact"/>
        <w:ind w:firstLine="643" w:firstLineChars="200"/>
        <w:jc w:val="both"/>
        <w:rPr>
          <w:rStyle w:val="6"/>
          <w:rFonts w:ascii="Times New Roman" w:hAnsi="Times New Roman" w:eastAsia="方正仿宋简体" w:cs="方正仿宋简体"/>
          <w:color w:val="auto"/>
          <w:spacing w:val="0"/>
          <w:sz w:val="32"/>
          <w:szCs w:val="32"/>
        </w:rPr>
      </w:pPr>
      <w:r>
        <w:rPr>
          <w:rStyle w:val="6"/>
          <w:rFonts w:hint="eastAsia" w:ascii="Times New Roman" w:hAnsi="Times New Roman" w:eastAsia="方正仿宋简体" w:cs="方正仿宋简体"/>
          <w:b/>
          <w:bCs/>
          <w:color w:val="auto"/>
          <w:spacing w:val="0"/>
          <w:sz w:val="32"/>
          <w:szCs w:val="32"/>
        </w:rPr>
        <w:t>（二）补偿方式：</w:t>
      </w:r>
      <w:r>
        <w:rPr>
          <w:rStyle w:val="6"/>
          <w:rFonts w:hint="eastAsia" w:ascii="Times New Roman" w:hAnsi="Times New Roman" w:eastAsia="方正仿宋简体" w:cs="方正仿宋简体"/>
          <w:color w:val="auto"/>
          <w:spacing w:val="0"/>
          <w:sz w:val="32"/>
          <w:szCs w:val="32"/>
        </w:rPr>
        <w:t>包括货币补偿、定向定价商品房安置模式、产权调换三种方式。</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color w:val="auto"/>
          <w:spacing w:val="0"/>
          <w:sz w:val="32"/>
          <w:szCs w:val="32"/>
        </w:rPr>
      </w:pPr>
      <w:r>
        <w:rPr>
          <w:rStyle w:val="6"/>
          <w:rFonts w:hint="eastAsia" w:ascii="Times New Roman" w:hAnsi="Times New Roman" w:eastAsia="方正仿宋简体" w:cs="方正仿宋简体"/>
          <w:color w:val="auto"/>
          <w:spacing w:val="0"/>
          <w:sz w:val="32"/>
          <w:szCs w:val="32"/>
        </w:rPr>
        <w:t>1.住宅</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color w:val="auto"/>
          <w:spacing w:val="0"/>
          <w:sz w:val="32"/>
          <w:szCs w:val="32"/>
        </w:rPr>
      </w:pPr>
      <w:r>
        <w:rPr>
          <w:rStyle w:val="6"/>
          <w:rFonts w:hint="eastAsia" w:ascii="Times New Roman" w:hAnsi="Times New Roman" w:eastAsia="方正仿宋简体" w:cs="方正仿宋简体"/>
          <w:color w:val="auto"/>
          <w:spacing w:val="0"/>
          <w:sz w:val="32"/>
          <w:szCs w:val="32"/>
        </w:rPr>
        <w:t>选择货币补偿的，必须权属清楚。凡权属不清或有产权纠纷的，必须实行定向定价商品房安置模式或产权调换。</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color w:val="auto"/>
          <w:spacing w:val="0"/>
          <w:sz w:val="32"/>
          <w:szCs w:val="32"/>
        </w:rPr>
      </w:pPr>
      <w:r>
        <w:rPr>
          <w:rStyle w:val="6"/>
          <w:rFonts w:hint="eastAsia" w:ascii="Times New Roman" w:hAnsi="Times New Roman" w:eastAsia="方正仿宋简体" w:cs="方正仿宋简体"/>
          <w:color w:val="auto"/>
          <w:spacing w:val="0"/>
          <w:sz w:val="32"/>
          <w:szCs w:val="32"/>
        </w:rPr>
        <w:t>产权清楚的被征收住宅经认定的可补偿面积在50㎡以下（含50㎡）的，原则上只能选择货币补偿，不再享有本项目定向定价商品房房源的购换资格。</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color w:val="auto"/>
          <w:spacing w:val="0"/>
          <w:sz w:val="32"/>
          <w:szCs w:val="32"/>
        </w:rPr>
      </w:pPr>
      <w:r>
        <w:rPr>
          <w:rStyle w:val="6"/>
          <w:rFonts w:hint="eastAsia" w:ascii="Times New Roman" w:hAnsi="Times New Roman" w:eastAsia="方正仿宋简体" w:cs="方正仿宋简体"/>
          <w:color w:val="auto"/>
          <w:spacing w:val="0"/>
          <w:sz w:val="32"/>
          <w:szCs w:val="32"/>
        </w:rPr>
        <w:t>2.店面</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auto"/>
          <w:spacing w:val="0"/>
          <w:sz w:val="32"/>
          <w:szCs w:val="32"/>
        </w:rPr>
      </w:pPr>
      <w:r>
        <w:rPr>
          <w:rStyle w:val="6"/>
          <w:rFonts w:hint="eastAsia" w:ascii="Times New Roman" w:hAnsi="Times New Roman" w:eastAsia="方正仿宋简体" w:cs="方正仿宋简体"/>
          <w:color w:val="auto"/>
          <w:spacing w:val="0"/>
          <w:sz w:val="32"/>
          <w:szCs w:val="32"/>
        </w:rPr>
        <w:t>经城市规划部门批准或房屋所有权证记载为店面的，根据其经批准的店面面积或产权登记的店面面积，给予货币补偿。</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color w:val="auto"/>
          <w:spacing w:val="0"/>
          <w:sz w:val="32"/>
          <w:szCs w:val="32"/>
        </w:rPr>
      </w:pPr>
      <w:r>
        <w:rPr>
          <w:rStyle w:val="6"/>
          <w:rFonts w:hint="eastAsia" w:ascii="Times New Roman" w:hAnsi="Times New Roman" w:eastAsia="方正仿宋简体" w:cs="方正仿宋简体"/>
          <w:color w:val="auto"/>
          <w:spacing w:val="0"/>
          <w:sz w:val="32"/>
          <w:szCs w:val="32"/>
        </w:rPr>
        <w:t>3.“住改非”房屋，一律按住宅给予征收补偿。</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Style w:val="6"/>
          <w:rFonts w:ascii="Times New Roman" w:hAnsi="Times New Roman" w:eastAsia="方正仿宋简体" w:cs="方正仿宋简体"/>
          <w:color w:val="auto"/>
          <w:spacing w:val="0"/>
          <w:sz w:val="32"/>
          <w:szCs w:val="32"/>
        </w:rPr>
      </w:pPr>
      <w:r>
        <w:rPr>
          <w:rStyle w:val="6"/>
          <w:rFonts w:hint="eastAsia" w:ascii="Times New Roman" w:hAnsi="Times New Roman" w:eastAsia="方正仿宋简体" w:cs="方正仿宋简体"/>
          <w:color w:val="auto"/>
          <w:spacing w:val="0"/>
          <w:sz w:val="32"/>
          <w:szCs w:val="32"/>
        </w:rPr>
        <w:t>4.企业厂房、仓库及其他配套用房，实行货币补偿。</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auto"/>
          <w:spacing w:val="0"/>
          <w:sz w:val="32"/>
          <w:szCs w:val="32"/>
          <w:highlight w:val="yellow"/>
        </w:rPr>
      </w:pPr>
      <w:r>
        <w:rPr>
          <w:rStyle w:val="6"/>
          <w:rFonts w:hint="eastAsia" w:ascii="Times New Roman" w:hAnsi="Times New Roman" w:eastAsia="方正仿宋简体" w:cs="方正仿宋简体"/>
          <w:color w:val="auto"/>
          <w:spacing w:val="0"/>
          <w:sz w:val="32"/>
          <w:szCs w:val="32"/>
        </w:rPr>
        <w:t>5.</w:t>
      </w:r>
      <w:r>
        <w:rPr>
          <w:rFonts w:hint="eastAsia" w:ascii="Times New Roman" w:hAnsi="Times New Roman" w:eastAsia="方正仿宋简体" w:cs="方正仿宋简体"/>
          <w:bCs/>
          <w:color w:val="auto"/>
          <w:spacing w:val="0"/>
          <w:sz w:val="32"/>
          <w:szCs w:val="32"/>
        </w:rPr>
        <w:t>事</w:t>
      </w:r>
      <w:r>
        <w:rPr>
          <w:rFonts w:hint="eastAsia" w:ascii="Times New Roman" w:hAnsi="Times New Roman" w:eastAsia="方正仿宋简体" w:cs="方正仿宋简体"/>
          <w:color w:val="auto"/>
          <w:spacing w:val="0"/>
          <w:sz w:val="32"/>
          <w:szCs w:val="32"/>
        </w:rPr>
        <w:t>业单位办公用房，原则上实行货币补偿，补偿标准原则上参照住宅执行；工业用地性质的事业单位办公用房不适用本条款，应参照厂房执行；商业性质建筑，可采取评估方式评估被征收房屋价值，评估结果作为补偿依据。</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6.临时建筑、附属物（水、电表除外），实行一次性货币补偿（见附表六）。</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auto"/>
          <w:spacing w:val="0"/>
          <w:sz w:val="32"/>
          <w:szCs w:val="32"/>
          <w:highlight w:val="yellow"/>
        </w:rPr>
      </w:pPr>
      <w:r>
        <w:rPr>
          <w:rFonts w:hint="eastAsia" w:ascii="Times New Roman" w:hAnsi="Times New Roman" w:eastAsia="方正仿宋简体" w:cs="方正仿宋简体"/>
          <w:color w:val="auto"/>
          <w:spacing w:val="0"/>
          <w:sz w:val="32"/>
          <w:szCs w:val="32"/>
        </w:rPr>
        <w:t>7.征收中涉及军事设施、教堂、寺庙以及文物古迹等房屋，依照有关</w:t>
      </w:r>
      <w:r>
        <w:rPr>
          <w:rFonts w:hint="eastAsia" w:eastAsia="方正仿宋简体" w:cs="方正仿宋简体"/>
          <w:color w:val="auto"/>
          <w:spacing w:val="0"/>
          <w:sz w:val="32"/>
          <w:szCs w:val="32"/>
          <w:lang w:eastAsia="zh-CN"/>
        </w:rPr>
        <w:t>法律法规</w:t>
      </w:r>
      <w:r>
        <w:rPr>
          <w:rFonts w:hint="eastAsia" w:ascii="Times New Roman" w:hAnsi="Times New Roman" w:eastAsia="方正仿宋简体" w:cs="方正仿宋简体"/>
          <w:color w:val="auto"/>
          <w:spacing w:val="0"/>
          <w:sz w:val="32"/>
          <w:szCs w:val="32"/>
        </w:rPr>
        <w:t>处理。</w:t>
      </w:r>
    </w:p>
    <w:p>
      <w:pPr>
        <w:keepNext w:val="0"/>
        <w:keepLines w:val="0"/>
        <w:pageBreakBefore w:val="0"/>
        <w:widowControl w:val="0"/>
        <w:kinsoku/>
        <w:wordWrap/>
        <w:overflowPunct w:val="0"/>
        <w:topLinePunct w:val="0"/>
        <w:autoSpaceDE/>
        <w:autoSpaceDN/>
        <w:bidi w:val="0"/>
        <w:spacing w:line="57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（三）性质、用途认定依据</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以土地使用证</w:t>
      </w:r>
      <w:r>
        <w:rPr>
          <w:rFonts w:hint="eastAsia" w:ascii="Times New Roman" w:hAnsi="Times New Roman" w:eastAsia="方正仿宋简体" w:cs="方正仿宋简体"/>
          <w:color w:val="auto"/>
          <w:spacing w:val="0"/>
          <w:sz w:val="32"/>
          <w:szCs w:val="32"/>
          <w:lang w:eastAsia="zh-CN"/>
        </w:rPr>
        <w:t>、</w:t>
      </w:r>
      <w:r>
        <w:rPr>
          <w:rFonts w:hint="eastAsia" w:ascii="Times New Roman" w:hAnsi="Times New Roman" w:eastAsia="方正仿宋简体" w:cs="方正仿宋简体"/>
          <w:color w:val="auto"/>
          <w:spacing w:val="0"/>
          <w:sz w:val="32"/>
          <w:szCs w:val="32"/>
        </w:rPr>
        <w:t>房屋所有权证</w:t>
      </w:r>
      <w:r>
        <w:rPr>
          <w:rFonts w:hint="eastAsia" w:ascii="Times New Roman" w:hAnsi="Times New Roman" w:eastAsia="方正仿宋简体" w:cs="方正仿宋简体"/>
          <w:color w:val="auto"/>
          <w:spacing w:val="0"/>
          <w:sz w:val="32"/>
          <w:szCs w:val="32"/>
          <w:lang w:eastAsia="zh-CN"/>
        </w:rPr>
        <w:t>、</w:t>
      </w:r>
      <w:r>
        <w:rPr>
          <w:rFonts w:hint="eastAsia" w:ascii="Times New Roman" w:hAnsi="Times New Roman" w:eastAsia="方正仿宋简体" w:cs="方正仿宋简体"/>
          <w:color w:val="auto"/>
          <w:spacing w:val="0"/>
          <w:sz w:val="32"/>
          <w:szCs w:val="32"/>
        </w:rPr>
        <w:t>不动产权证登记的用途或以自然资源和规划部门颁发的合法有效文件为依据。</w:t>
      </w:r>
    </w:p>
    <w:p>
      <w:pPr>
        <w:keepNext w:val="0"/>
        <w:keepLines w:val="0"/>
        <w:pageBreakBefore w:val="0"/>
        <w:widowControl w:val="0"/>
        <w:numPr>
          <w:ilvl w:val="0"/>
          <w:numId w:val="3"/>
        </w:numPr>
        <w:kinsoku/>
        <w:wordWrap/>
        <w:overflowPunct w:val="0"/>
        <w:topLinePunct w:val="0"/>
        <w:autoSpaceDE/>
        <w:autoSpaceDN/>
        <w:bidi w:val="0"/>
        <w:spacing w:line="57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面积测算</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面积测量由具有房地产测绘资质的测量单位，依据国家、省、市现行房地产测绘技术规范计算。</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shd w:val="clear" w:color="auto" w:fill="FFFFFF"/>
        </w:rPr>
        <w:t>1.</w:t>
      </w:r>
      <w:r>
        <w:rPr>
          <w:rFonts w:hint="eastAsia" w:ascii="Times New Roman" w:hAnsi="Times New Roman" w:eastAsia="方正仿宋简体" w:cs="方正仿宋简体"/>
          <w:color w:val="auto"/>
          <w:spacing w:val="0"/>
          <w:sz w:val="32"/>
          <w:szCs w:val="32"/>
        </w:rPr>
        <w:t>对本方案中所列价格无异议、在征收决定公告规定的期限内签订协议并按时搬迁的，其被征收房屋除按国家现行的房地产测量规范计算建筑面积外，有下列情况的可优惠计算征收面积：</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（1）平屋外墙至滴水线的水平投影面积部分，可按50%计算征收面积。</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（2）平屋的天井按50%计算征收面积。</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（3）围墙上的大门雨披按50%计算征收面积。</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（4）利用坡屋顶空间作为阁楼的建筑，其楼底高度在2.2米（含2.2米）以上，且阁楼层高在1.6米（含1.6米）以上的部分按50%计算征收面积（层高在1.6米以下的部分按附属物给予补偿）。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（5）通往屋顶的风楼，层高超过2.2米（含2.2米）的，按100%计算征收面积（层高低于2.2米的，按附属物给予补偿）。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（6）房屋顶层建筑面积为底层建筑面积1/3以内的（含），不计入总层数。</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color w:val="auto"/>
          <w:spacing w:val="0"/>
          <w:sz w:val="32"/>
          <w:szCs w:val="32"/>
          <w:shd w:val="clear" w:color="auto" w:fill="FFFFFF"/>
        </w:rPr>
        <w:t>2.</w:t>
      </w:r>
      <w:r>
        <w:rPr>
          <w:rFonts w:hint="eastAsia" w:ascii="Times New Roman" w:hAnsi="Times New Roman" w:eastAsia="方正仿宋简体" w:cs="方正仿宋简体"/>
          <w:color w:val="auto"/>
          <w:spacing w:val="0"/>
          <w:sz w:val="32"/>
          <w:szCs w:val="32"/>
        </w:rPr>
        <w:t>对本方案中所列价格有异议、未在征收决定公告规定期限内完成签订协议并按时搬迁的，其被征收房屋建筑面积按国家现行房地产测量规范计算，不再适用上述计算面积的优惠办法。</w:t>
      </w:r>
    </w:p>
    <w:p>
      <w:pPr>
        <w:keepNext w:val="0"/>
        <w:keepLines w:val="0"/>
        <w:pageBreakBefore w:val="0"/>
        <w:widowControl w:val="0"/>
        <w:kinsoku/>
        <w:wordWrap/>
        <w:overflowPunct w:val="0"/>
        <w:topLinePunct w:val="0"/>
        <w:autoSpaceDE/>
        <w:autoSpaceDN/>
        <w:bidi w:val="0"/>
        <w:adjustRightInd w:val="0"/>
        <w:spacing w:line="57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第六条 选房办法</w:t>
      </w:r>
    </w:p>
    <w:p>
      <w:pPr>
        <w:keepNext w:val="0"/>
        <w:keepLines w:val="0"/>
        <w:pageBreakBefore w:val="0"/>
        <w:widowControl w:val="0"/>
        <w:numPr>
          <w:ilvl w:val="0"/>
          <w:numId w:val="4"/>
        </w:numPr>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选房原则：“先签约、先腾空，先选房”。选择定向定价商品房安置模式的，完成签约腾空后发放</w:t>
      </w:r>
      <w:r>
        <w:rPr>
          <w:rFonts w:hint="eastAsia" w:ascii="方正仿宋简体" w:hAnsi="方正仿宋简体" w:eastAsia="方正仿宋简体" w:cs="方正仿宋简体"/>
          <w:color w:val="auto"/>
          <w:sz w:val="32"/>
          <w:szCs w:val="32"/>
          <w:u w:val="none"/>
          <w:lang w:val="en-US" w:eastAsia="zh-CN"/>
        </w:rPr>
        <w:t>《搬迁腾空验收证》</w:t>
      </w:r>
      <w:r>
        <w:rPr>
          <w:rFonts w:hint="eastAsia" w:ascii="Times New Roman" w:hAnsi="Times New Roman" w:eastAsia="方正仿宋简体" w:cs="方正仿宋简体"/>
          <w:color w:val="auto"/>
          <w:spacing w:val="0"/>
          <w:sz w:val="32"/>
          <w:szCs w:val="32"/>
        </w:rPr>
        <w:t>《征收补偿安置证》，若同一日有两户或两户以上完成签约腾空的，次日以公开拈阄方式确定</w:t>
      </w:r>
      <w:r>
        <w:rPr>
          <w:rFonts w:hint="eastAsia" w:ascii="Times New Roman" w:hAnsi="Times New Roman" w:eastAsia="方正仿宋简体" w:cs="方正仿宋简体"/>
          <w:color w:val="auto"/>
          <w:spacing w:val="0"/>
          <w:sz w:val="32"/>
          <w:szCs w:val="32"/>
          <w:lang w:val="en-US" w:eastAsia="zh-CN"/>
        </w:rPr>
        <w:t>选房号</w:t>
      </w:r>
      <w:r>
        <w:rPr>
          <w:rFonts w:hint="eastAsia" w:ascii="Times New Roman" w:hAnsi="Times New Roman" w:eastAsia="方正仿宋简体" w:cs="方正仿宋简体"/>
          <w:color w:val="auto"/>
          <w:spacing w:val="0"/>
          <w:sz w:val="32"/>
          <w:szCs w:val="32"/>
        </w:rPr>
        <w:t>顺序。选房时，被征收人凭《征收补偿安置证》</w:t>
      </w:r>
      <w:r>
        <w:rPr>
          <w:rFonts w:hint="eastAsia" w:ascii="Times New Roman" w:hAnsi="Times New Roman" w:eastAsia="方正仿宋简体" w:cs="方正仿宋简体"/>
          <w:color w:val="auto"/>
          <w:spacing w:val="0"/>
          <w:sz w:val="32"/>
          <w:szCs w:val="32"/>
          <w:lang w:eastAsia="zh-CN"/>
        </w:rPr>
        <w:t>的</w:t>
      </w:r>
      <w:r>
        <w:rPr>
          <w:rFonts w:hint="eastAsia" w:ascii="Times New Roman" w:hAnsi="Times New Roman" w:eastAsia="方正仿宋简体" w:cs="方正仿宋简体"/>
          <w:color w:val="auto"/>
          <w:spacing w:val="0"/>
          <w:sz w:val="32"/>
          <w:szCs w:val="32"/>
          <w:lang w:val="en-US" w:eastAsia="zh-CN"/>
        </w:rPr>
        <w:t>选房号</w:t>
      </w:r>
      <w:r>
        <w:rPr>
          <w:rFonts w:hint="eastAsia" w:ascii="Times New Roman" w:hAnsi="Times New Roman" w:eastAsia="方正仿宋简体" w:cs="方正仿宋简体"/>
          <w:color w:val="auto"/>
          <w:spacing w:val="0"/>
          <w:sz w:val="32"/>
          <w:szCs w:val="32"/>
        </w:rPr>
        <w:t>顺序选房，签订选房协议。</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二）为落实国家保护华侨私有房屋政策及离休干部待遇政策，被征收人的房屋经市或区侨台外事局（侨台办）确认为华侨私有房屋的，或被征收人持有离休干部证明材料的，被征收人在完成签约腾空的当日，优先于当日其他被征收人取得《征收补偿安置证》；若同一日内有两户或两户以上华侨或离休干部的房屋完成签约腾空的，《征收补偿安置证》以公开拈阄的方式确定</w:t>
      </w:r>
      <w:r>
        <w:rPr>
          <w:rFonts w:hint="eastAsia" w:ascii="Times New Roman" w:hAnsi="Times New Roman" w:eastAsia="方正仿宋简体" w:cs="方正仿宋简体"/>
          <w:color w:val="auto"/>
          <w:spacing w:val="0"/>
          <w:sz w:val="32"/>
          <w:szCs w:val="32"/>
          <w:lang w:val="en-US" w:eastAsia="zh-CN"/>
        </w:rPr>
        <w:t>选房号</w:t>
      </w:r>
      <w:r>
        <w:rPr>
          <w:rFonts w:hint="eastAsia" w:ascii="Times New Roman" w:hAnsi="Times New Roman" w:eastAsia="方正仿宋简体" w:cs="方正仿宋简体"/>
          <w:color w:val="auto"/>
          <w:spacing w:val="0"/>
          <w:sz w:val="32"/>
          <w:szCs w:val="32"/>
        </w:rPr>
        <w:t>顺序。</w:t>
      </w:r>
    </w:p>
    <w:p>
      <w:pPr>
        <w:keepNext w:val="0"/>
        <w:keepLines w:val="0"/>
        <w:pageBreakBefore w:val="0"/>
        <w:widowControl w:val="0"/>
        <w:kinsoku/>
        <w:wordWrap/>
        <w:overflowPunct w:val="0"/>
        <w:topLinePunct w:val="0"/>
        <w:autoSpaceDE/>
        <w:autoSpaceDN/>
        <w:bidi w:val="0"/>
        <w:spacing w:line="57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第七条 补偿价格确定办法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3" w:firstLineChars="200"/>
        <w:jc w:val="both"/>
        <w:textAlignment w:val="baseline"/>
        <w:rPr>
          <w:rFonts w:ascii="Times New Roman" w:hAnsi="Times New Roman" w:eastAsia="方正仿宋简体" w:cs="方正仿宋简体"/>
          <w:b/>
          <w:color w:val="auto"/>
          <w:spacing w:val="0"/>
          <w:sz w:val="32"/>
          <w:szCs w:val="32"/>
          <w:shd w:val="clear" w:color="auto" w:fill="auto"/>
        </w:rPr>
      </w:pPr>
      <w:r>
        <w:rPr>
          <w:rFonts w:hint="eastAsia" w:ascii="Times New Roman" w:hAnsi="Times New Roman" w:eastAsia="方正仿宋简体" w:cs="方正仿宋简体"/>
          <w:b/>
          <w:color w:val="auto"/>
          <w:spacing w:val="0"/>
          <w:sz w:val="32"/>
          <w:szCs w:val="32"/>
          <w:shd w:val="clear" w:color="auto" w:fill="auto"/>
        </w:rPr>
        <w:t>（一）被征收房屋补偿参考价</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hint="eastAsia"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根据《泉州市人民政府办公室关于印发泉州市推进房屋征收补偿安置工作若干意见的通知》（泉政办〔2022〕9号）规定确定本方案的补偿参考价，作为与被征收人协商补偿的依据。</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3" w:firstLineChars="200"/>
        <w:jc w:val="both"/>
        <w:textAlignment w:val="baseline"/>
        <w:rPr>
          <w:rFonts w:hint="eastAsia" w:ascii="Times New Roman" w:hAnsi="Times New Roman" w:eastAsia="方正仿宋简体" w:cs="方正仿宋简体"/>
          <w:b/>
          <w:color w:val="auto"/>
          <w:spacing w:val="0"/>
          <w:sz w:val="32"/>
          <w:szCs w:val="32"/>
          <w:shd w:val="clear" w:color="auto" w:fill="auto"/>
        </w:rPr>
      </w:pPr>
      <w:r>
        <w:rPr>
          <w:rFonts w:hint="eastAsia" w:ascii="Times New Roman" w:hAnsi="Times New Roman" w:eastAsia="方正仿宋简体" w:cs="方正仿宋简体"/>
          <w:b/>
          <w:color w:val="auto"/>
          <w:spacing w:val="0"/>
          <w:sz w:val="32"/>
          <w:szCs w:val="32"/>
          <w:shd w:val="clear" w:color="auto" w:fill="auto"/>
        </w:rPr>
        <w:t>（二）分户补偿评估价</w:t>
      </w:r>
    </w:p>
    <w:p>
      <w:pPr>
        <w:keepNext w:val="0"/>
        <w:keepLines w:val="0"/>
        <w:pageBreakBefore w:val="0"/>
        <w:widowControl w:val="0"/>
        <w:kinsoku/>
        <w:wordWrap/>
        <w:overflowPunct w:val="0"/>
        <w:topLinePunct w:val="0"/>
        <w:autoSpaceDE/>
        <w:autoSpaceDN/>
        <w:bidi w:val="0"/>
        <w:spacing w:line="570" w:lineRule="exact"/>
        <w:ind w:firstLine="640" w:firstLineChars="200"/>
        <w:jc w:val="both"/>
        <w:rPr>
          <w:rFonts w:hint="eastAsia"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对本方案所列补偿参考价有异议的，可由依法选定的房地产价格评估机构对被征收房屋价值进行分户评估，评估结果作为补偿依据，不再按本方案确定的补偿参考价补偿。选择分户评估且选择定向定价商品房安置模式或产权调换的，还应同时对定向定价商品房价值进行评估，并计算、结清被征收房屋价值与购换房屋之间的差价，不再享受本方案规定的优惠奖励。</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70" w:lineRule="exact"/>
        <w:ind w:firstLine="640" w:firstLineChars="200"/>
        <w:jc w:val="both"/>
        <w:textAlignment w:val="baseline"/>
        <w:rPr>
          <w:rFonts w:hint="eastAsia"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被征收人或房屋征收部门对房屋评估价值有异议的，可自收到估价报告之日起10日内向原房地产价格评估机构申请复核。对复核结果仍有异议的，可自收到复核结果之日起10日内向泉州市房屋征收评估鉴定专家委员会申请鉴定。</w:t>
      </w:r>
    </w:p>
    <w:p>
      <w:pPr>
        <w:pStyle w:val="2"/>
        <w:keepNext w:val="0"/>
        <w:keepLines w:val="0"/>
        <w:pageBreakBefore w:val="0"/>
        <w:widowControl w:val="0"/>
        <w:kinsoku/>
        <w:wordWrap/>
        <w:topLinePunct w:val="0"/>
        <w:autoSpaceDE/>
        <w:autoSpaceDN/>
        <w:bidi w:val="0"/>
        <w:spacing w:line="570" w:lineRule="exact"/>
        <w:rPr>
          <w:color w:val="auto"/>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Times New Roman" w:hAnsi="Times New Roman" w:eastAsia="黑体" w:cs="黑体"/>
          <w:color w:val="auto"/>
          <w:spacing w:val="0"/>
          <w:sz w:val="32"/>
          <w:szCs w:val="32"/>
        </w:rPr>
      </w:pPr>
      <w:r>
        <w:rPr>
          <w:rFonts w:hint="eastAsia" w:ascii="Times New Roman" w:hAnsi="Times New Roman" w:eastAsia="黑体" w:cs="黑体"/>
          <w:color w:val="auto"/>
          <w:spacing w:val="0"/>
          <w:kern w:val="0"/>
          <w:sz w:val="32"/>
          <w:szCs w:val="32"/>
          <w:lang w:val="en-US" w:eastAsia="zh-CN" w:bidi="ar-SA"/>
        </w:rPr>
        <w:t>第二部分</w:t>
      </w:r>
      <w:r>
        <w:rPr>
          <w:rFonts w:hint="eastAsia" w:ascii="Times New Roman" w:hAnsi="Times New Roman" w:eastAsia="黑体" w:cs="黑体"/>
          <w:color w:val="auto"/>
          <w:spacing w:val="0"/>
          <w:sz w:val="32"/>
          <w:szCs w:val="32"/>
          <w:lang w:val="en-US" w:eastAsia="zh-CN"/>
        </w:rPr>
        <w:t xml:space="preserve">  </w:t>
      </w:r>
      <w:r>
        <w:rPr>
          <w:rFonts w:hint="eastAsia" w:ascii="Times New Roman" w:hAnsi="Times New Roman" w:eastAsia="黑体" w:cs="黑体"/>
          <w:color w:val="auto"/>
          <w:spacing w:val="0"/>
          <w:sz w:val="32"/>
          <w:szCs w:val="32"/>
        </w:rPr>
        <w:t>房屋权属认定和处理办法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Times New Roman" w:hAnsi="Times New Roman" w:eastAsia="黑体" w:cs="黑体"/>
          <w:color w:val="auto"/>
          <w:spacing w:val="0"/>
          <w:sz w:val="32"/>
          <w:szCs w:val="32"/>
        </w:rPr>
      </w:pPr>
    </w:p>
    <w:p>
      <w:pPr>
        <w:pStyle w:val="2"/>
        <w:keepNext w:val="0"/>
        <w:keepLines w:val="0"/>
        <w:pageBreakBefore w:val="0"/>
        <w:widowControl w:val="0"/>
        <w:kinsoku/>
        <w:wordWrap/>
        <w:topLinePunct w:val="0"/>
        <w:autoSpaceDE/>
        <w:autoSpaceDN/>
        <w:bidi w:val="0"/>
        <w:spacing w:line="570" w:lineRule="exact"/>
        <w:ind w:firstLine="643" w:firstLineChars="200"/>
        <w:jc w:val="both"/>
        <w:rPr>
          <w:rFonts w:ascii="Times New Roman" w:hAnsi="Times New Roman" w:eastAsia="方正仿宋简体" w:cs="方正仿宋简体"/>
          <w:b/>
          <w:bCs/>
          <w:color w:val="auto"/>
          <w:spacing w:val="-11"/>
          <w:sz w:val="32"/>
          <w:szCs w:val="32"/>
        </w:rPr>
      </w:pPr>
      <w:r>
        <w:rPr>
          <w:rFonts w:hint="eastAsia" w:ascii="Times New Roman" w:hAnsi="Times New Roman" w:eastAsia="方正仿宋简体" w:cs="方正仿宋简体"/>
          <w:b/>
          <w:bCs/>
          <w:color w:val="auto"/>
          <w:spacing w:val="0"/>
          <w:sz w:val="32"/>
          <w:szCs w:val="32"/>
        </w:rPr>
        <w:t>第八条 住</w:t>
      </w:r>
      <w:r>
        <w:rPr>
          <w:rFonts w:hint="eastAsia" w:ascii="Times New Roman" w:hAnsi="Times New Roman" w:eastAsia="方正仿宋简体" w:cs="方正仿宋简体"/>
          <w:b/>
          <w:bCs/>
          <w:color w:val="auto"/>
          <w:spacing w:val="-11"/>
          <w:sz w:val="32"/>
          <w:szCs w:val="32"/>
        </w:rPr>
        <w:t>宅房屋权属的认定和未经登记建筑的认定处理办法</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根据《泉州市人民政府办公室关于印发在中心市区国有土地上对未经登记建筑调查认定处理意见和实施房屋征收补偿指导意见的通知》（泉政办〔2015〕112号）规定，对住宅房屋权属的认定和未登记建筑的认定处理如下：</w:t>
      </w:r>
    </w:p>
    <w:p>
      <w:pPr>
        <w:pStyle w:val="2"/>
        <w:keepNext w:val="0"/>
        <w:keepLines w:val="0"/>
        <w:pageBreakBefore w:val="0"/>
        <w:widowControl w:val="0"/>
        <w:kinsoku/>
        <w:topLinePunct w:val="0"/>
        <w:bidi w:val="0"/>
        <w:spacing w:line="59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（一）住宅合法产权的认定</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持有有效土地使用证、房屋所有权证、不动产权证的房屋。</w:t>
      </w:r>
    </w:p>
    <w:p>
      <w:pPr>
        <w:pStyle w:val="2"/>
        <w:keepNext w:val="0"/>
        <w:keepLines w:val="0"/>
        <w:pageBreakBefore w:val="0"/>
        <w:widowControl w:val="0"/>
        <w:kinsoku/>
        <w:topLinePunct w:val="0"/>
        <w:bidi w:val="0"/>
        <w:spacing w:line="59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（二）可认定给予补偿的情形</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为照顾被征收人利益，结合项目实际情况，凡对本方案中所列价格无异议、在征收决定规定的签约期限内签订协议并按时搬迁的，未经登记的建筑有下列情形之一的，且属一户一宅对象的住宅房屋，三层以下部分（含三层）可按原批准面积给予补偿：</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1.“土改”时县级以上人民政府颁发的《土地房产所有证》记载的住宅房屋；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2.1987年1月1日《中华人民共和国土地管理法》实施前，经生产队（村民小组）、大队（村委会）、公社（乡、镇）三级批准基建的住宅房屋；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3.1987年1月1日《中华人民共和国土地管理法》实施后至1995年12月25日泉州市人民政府《关于泉州市城市规划区范围内实行统一规划管理的通知》（泉政〔1995〕综309号）实施前，经县级政府批准使用耕地基建的或经乡（镇）级政府批准使用空闲杂地基建的住宅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4.1995年12月25日泉州市人民政府《关于泉州市城市规划区范围内实行统一规划管理的通知》（泉政〔1995〕综309号）实施后，经泉州市城乡规划行政主管部门批准基建的住宅房屋；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5.持有市、区土地清查手续及发票（原件）的房屋；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6.征收属市（县、区）政府建设项目二次安置自建的房屋；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11"/>
          <w:sz w:val="32"/>
          <w:szCs w:val="32"/>
        </w:rPr>
      </w:pPr>
      <w:r>
        <w:rPr>
          <w:rFonts w:hint="eastAsia" w:ascii="Times New Roman" w:hAnsi="Times New Roman" w:eastAsia="方正仿宋简体" w:cs="方正仿宋简体"/>
          <w:color w:val="auto"/>
          <w:spacing w:val="0"/>
          <w:sz w:val="32"/>
          <w:szCs w:val="32"/>
        </w:rPr>
        <w:t>7.征收</w:t>
      </w:r>
      <w:r>
        <w:rPr>
          <w:rFonts w:hint="eastAsia" w:ascii="Times New Roman" w:hAnsi="Times New Roman" w:eastAsia="方正仿宋简体" w:cs="方正仿宋简体"/>
          <w:color w:val="auto"/>
          <w:spacing w:val="-11"/>
          <w:sz w:val="32"/>
          <w:szCs w:val="32"/>
        </w:rPr>
        <w:t>属市委、市政府定点新村建设、旧村改造项目自建的房屋；</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8.根据市委办、市政府办《泉州市违法占地、违法建设认定及分类处置的指导意见》（泉委办发〔2014〕16号）文的规定，补办基建审批手续的房屋。</w:t>
      </w:r>
    </w:p>
    <w:p>
      <w:pPr>
        <w:pStyle w:val="2"/>
        <w:keepNext w:val="0"/>
        <w:keepLines w:val="0"/>
        <w:pageBreakBefore w:val="0"/>
        <w:widowControl w:val="0"/>
        <w:kinsoku/>
        <w:topLinePunct w:val="0"/>
        <w:bidi w:val="0"/>
        <w:spacing w:line="59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（三）基建手续不完整的未经登记建筑的认定处理标准</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对于基建手续不完整的未经登记建筑，但属一户一宅对象的住宅房屋，被征收人在征收决定规定的签约期限内签订协议并按时搬迁的，可本着尊重历史的原则，区分以下情况进行处理：</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1.1987年1月1日《中华人民共和国土地管理法》实施前，经生产队（村民小组）、大队（村委会）二级同意基建的，或已缴交土地款的住宅房屋，可按批准基建用地范围内建筑面积不超过95%给予补偿；</w:t>
      </w:r>
    </w:p>
    <w:p>
      <w:pPr>
        <w:pStyle w:val="2"/>
        <w:keepNext w:val="0"/>
        <w:keepLines w:val="0"/>
        <w:pageBreakBefore w:val="0"/>
        <w:widowControl w:val="0"/>
        <w:kinsoku/>
        <w:topLinePunct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2.1987年1月1日《中华人民共和国土地管理法》实施后至1995年12月25日泉州市人民政府《关于泉州市城市规划区范围内实行统一规划管理的通知》（泉政〔1995〕综309号）实施前，经生产队（村民小组）、大队（村委会）、公社（乡、镇）三级同意，但未经县级以上人民政府批准使用耕地进行基建的，或只经生产队（村民小组）、大队（村委会）二级同意使用空闲杂地进行基建的房屋，可按批准基建用地范围内建筑面积不超过90%给予补偿；</w:t>
      </w:r>
    </w:p>
    <w:p>
      <w:pPr>
        <w:pStyle w:val="2"/>
        <w:keepNext w:val="0"/>
        <w:keepLines w:val="0"/>
        <w:pageBreakBefore w:val="0"/>
        <w:widowControl w:val="0"/>
        <w:kinsoku/>
        <w:overflowPunct/>
        <w:topLinePunct w:val="0"/>
        <w:bidi w:val="0"/>
        <w:adjustRightInd/>
        <w:snapToGrid/>
        <w:spacing w:line="610" w:lineRule="exact"/>
        <w:ind w:firstLine="640" w:firstLineChars="200"/>
        <w:jc w:val="both"/>
        <w:textAlignment w:val="auto"/>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3.1995年12月25日泉州市人民政府《关于泉州市城市规划区范围内实行统一规划管理的通知》（泉政〔1995〕综309号）实施后至2004年10月1日《泉州市人民政府关于禁止非法占地、违法建设的实施意见》（泉政文〔2004〕277号）前，经大队（村委会）、乡（镇）</w:t>
      </w:r>
      <w:r>
        <w:rPr>
          <w:rFonts w:hint="eastAsia" w:ascii="Times New Roman" w:hAnsi="Times New Roman" w:eastAsia="方正仿宋简体" w:cs="方正仿宋简体"/>
          <w:color w:val="auto"/>
          <w:spacing w:val="0"/>
          <w:sz w:val="32"/>
          <w:szCs w:val="32"/>
          <w:lang w:eastAsia="zh-CN"/>
        </w:rPr>
        <w:t>两</w:t>
      </w:r>
      <w:r>
        <w:rPr>
          <w:rFonts w:hint="eastAsia" w:ascii="Times New Roman" w:hAnsi="Times New Roman" w:eastAsia="方正仿宋简体" w:cs="方正仿宋简体"/>
          <w:color w:val="auto"/>
          <w:spacing w:val="0"/>
          <w:sz w:val="32"/>
          <w:szCs w:val="32"/>
        </w:rPr>
        <w:t>级同意，使用原有宅基地、村内空闲地或杂地进行基建的房屋，可按批准基建用地范围内建筑面积不超过85%给予补偿；</w:t>
      </w:r>
    </w:p>
    <w:p>
      <w:pPr>
        <w:pStyle w:val="2"/>
        <w:keepNext w:val="0"/>
        <w:keepLines w:val="0"/>
        <w:pageBreakBefore w:val="0"/>
        <w:widowControl w:val="0"/>
        <w:kinsoku/>
        <w:overflowPunct/>
        <w:topLinePunct w:val="0"/>
        <w:bidi w:val="0"/>
        <w:adjustRightInd/>
        <w:snapToGrid/>
        <w:spacing w:line="610" w:lineRule="exact"/>
        <w:ind w:firstLine="640" w:firstLineChars="200"/>
        <w:jc w:val="both"/>
        <w:textAlignment w:val="auto"/>
        <w:rPr>
          <w:rFonts w:hint="eastAsia" w:ascii="Times New Roman" w:hAnsi="Times New Roman" w:eastAsia="方正仿宋简体" w:cs="方正仿宋简体"/>
          <w:color w:val="auto"/>
          <w:spacing w:val="0"/>
          <w:sz w:val="32"/>
          <w:szCs w:val="32"/>
          <w:lang w:eastAsia="zh-CN"/>
        </w:rPr>
      </w:pPr>
      <w:r>
        <w:rPr>
          <w:rFonts w:hint="eastAsia" w:ascii="Times New Roman" w:hAnsi="Times New Roman" w:eastAsia="方正仿宋简体" w:cs="方正仿宋简体"/>
          <w:color w:val="auto"/>
          <w:spacing w:val="0"/>
          <w:sz w:val="32"/>
          <w:szCs w:val="32"/>
        </w:rPr>
        <w:t>4.2004年10月1日《泉州市人民政府关于禁止非法占地、违法建设的实施意见》（泉政文〔2004〕277号）实施后基建的房屋，按照市委办、市政府办《泉州市违法占地、违法建设认定及分类处置的指导意见》（泉委办发〔2014〕16号）进行处置。其中，对2004年10月1日至2008年航拍图（数字化地图）前基建的房屋，可给予一定的建筑材料费补贴</w:t>
      </w:r>
      <w:r>
        <w:rPr>
          <w:rFonts w:hint="eastAsia" w:ascii="Times New Roman" w:hAnsi="Times New Roman" w:eastAsia="方正仿宋简体" w:cs="方正仿宋简体"/>
          <w:color w:val="auto"/>
          <w:spacing w:val="0"/>
          <w:sz w:val="32"/>
          <w:szCs w:val="32"/>
          <w:lang w:eastAsia="zh-CN"/>
        </w:rPr>
        <w:t>。</w:t>
      </w:r>
    </w:p>
    <w:p>
      <w:pPr>
        <w:pStyle w:val="2"/>
        <w:keepNext w:val="0"/>
        <w:keepLines w:val="0"/>
        <w:pageBreakBefore w:val="0"/>
        <w:widowControl w:val="0"/>
        <w:kinsoku/>
        <w:overflowPunct/>
        <w:topLinePunct w:val="0"/>
        <w:bidi w:val="0"/>
        <w:adjustRightInd/>
        <w:snapToGrid/>
        <w:spacing w:line="610" w:lineRule="exact"/>
        <w:ind w:firstLine="643" w:firstLineChars="200"/>
        <w:jc w:val="both"/>
        <w:textAlignment w:val="auto"/>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（四）其它</w:t>
      </w:r>
    </w:p>
    <w:p>
      <w:pPr>
        <w:pStyle w:val="2"/>
        <w:keepNext w:val="0"/>
        <w:keepLines w:val="0"/>
        <w:pageBreakBefore w:val="0"/>
        <w:widowControl w:val="0"/>
        <w:kinsoku/>
        <w:overflowPunct/>
        <w:topLinePunct w:val="0"/>
        <w:bidi w:val="0"/>
        <w:adjustRightInd/>
        <w:snapToGrid/>
        <w:spacing w:line="610" w:lineRule="exact"/>
        <w:ind w:firstLine="640" w:firstLineChars="200"/>
        <w:jc w:val="both"/>
        <w:textAlignment w:val="auto"/>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1.未经批准改扩建或基建手续不完整的未经登记建筑的认定处理以三层（含三层）为限，三层以上部分一律不认定为可补偿面积，按期签订协议并搬迁的，根据违法的不同年份、不同情况给予材料费补偿；</w:t>
      </w:r>
    </w:p>
    <w:p>
      <w:pPr>
        <w:pStyle w:val="2"/>
        <w:keepNext w:val="0"/>
        <w:keepLines w:val="0"/>
        <w:pageBreakBefore w:val="0"/>
        <w:widowControl w:val="0"/>
        <w:kinsoku/>
        <w:wordWrap w:val="0"/>
        <w:overflowPunct/>
        <w:topLinePunct w:val="0"/>
        <w:autoSpaceDE w:val="0"/>
        <w:autoSpaceDN w:val="0"/>
        <w:bidi w:val="0"/>
        <w:adjustRightInd/>
        <w:snapToGrid/>
        <w:spacing w:line="610" w:lineRule="exact"/>
        <w:ind w:firstLine="640" w:firstLineChars="200"/>
        <w:jc w:val="both"/>
        <w:textAlignment w:val="auto"/>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2.未登记建筑的认定，应严格以市规划部门地形图、航拍图、数字化地图为依据。四层（含四层以上）被征收房屋的认定必须在未经登记建筑处理意见表上载明地形图及2003年和2008年航拍图数字化地图记载情况。</w:t>
      </w:r>
    </w:p>
    <w:p>
      <w:pPr>
        <w:pStyle w:val="2"/>
        <w:keepNext w:val="0"/>
        <w:keepLines w:val="0"/>
        <w:pageBreakBefore w:val="0"/>
        <w:widowControl w:val="0"/>
        <w:kinsoku/>
        <w:wordWrap w:val="0"/>
        <w:overflowPunct/>
        <w:topLinePunct w:val="0"/>
        <w:autoSpaceDE w:val="0"/>
        <w:autoSpaceDN w:val="0"/>
        <w:bidi w:val="0"/>
        <w:adjustRightInd/>
        <w:snapToGrid/>
        <w:spacing w:line="610" w:lineRule="exact"/>
        <w:ind w:firstLine="643" w:firstLineChars="200"/>
        <w:jc w:val="both"/>
        <w:textAlignment w:val="auto"/>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第九条 “住改非”房屋的认定和处理办法</w:t>
      </w:r>
    </w:p>
    <w:p>
      <w:pPr>
        <w:pStyle w:val="2"/>
        <w:keepNext w:val="0"/>
        <w:keepLines w:val="0"/>
        <w:pageBreakBefore w:val="0"/>
        <w:widowControl w:val="0"/>
        <w:kinsoku/>
        <w:wordWrap w:val="0"/>
        <w:topLinePunct w:val="0"/>
        <w:autoSpaceDE w:val="0"/>
        <w:autoSpaceDN w:val="0"/>
        <w:bidi w:val="0"/>
        <w:spacing w:line="590" w:lineRule="exact"/>
        <w:ind w:firstLine="643" w:firstLineChars="200"/>
        <w:jc w:val="both"/>
        <w:rPr>
          <w:rStyle w:val="6"/>
          <w:rFonts w:ascii="Times New Roman" w:hAnsi="Times New Roman" w:eastAsia="方正仿宋简体" w:cs="方正仿宋简体"/>
          <w:b/>
          <w:bCs/>
          <w:color w:val="auto"/>
          <w:spacing w:val="0"/>
          <w:sz w:val="32"/>
          <w:szCs w:val="32"/>
        </w:rPr>
      </w:pPr>
      <w:r>
        <w:rPr>
          <w:rStyle w:val="6"/>
          <w:rFonts w:hint="eastAsia" w:ascii="Times New Roman" w:hAnsi="Times New Roman" w:eastAsia="方正仿宋简体" w:cs="方正仿宋简体"/>
          <w:b/>
          <w:bCs/>
          <w:color w:val="auto"/>
          <w:spacing w:val="0"/>
          <w:sz w:val="32"/>
          <w:szCs w:val="32"/>
        </w:rPr>
        <w:t>（一）认定条件</w:t>
      </w:r>
    </w:p>
    <w:p>
      <w:pPr>
        <w:pStyle w:val="2"/>
        <w:keepNext w:val="0"/>
        <w:keepLines w:val="0"/>
        <w:pageBreakBefore w:val="0"/>
        <w:widowControl w:val="0"/>
        <w:kinsoku/>
        <w:wordWrap w:val="0"/>
        <w:topLinePunct w:val="0"/>
        <w:autoSpaceDE w:val="0"/>
        <w:autoSpaceDN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Style w:val="6"/>
          <w:rFonts w:hint="eastAsia" w:ascii="Times New Roman" w:hAnsi="Times New Roman" w:eastAsia="方正仿宋简体" w:cs="方正仿宋简体"/>
          <w:color w:val="auto"/>
          <w:spacing w:val="0"/>
          <w:sz w:val="32"/>
          <w:szCs w:val="32"/>
        </w:rPr>
        <w:t>未经城市规划部门批准或房屋所有权证未记载为店面的，</w:t>
      </w:r>
      <w:r>
        <w:rPr>
          <w:rFonts w:hint="eastAsia" w:ascii="Times New Roman" w:hAnsi="Times New Roman" w:eastAsia="方正仿宋简体" w:cs="方正仿宋简体"/>
          <w:color w:val="auto"/>
          <w:spacing w:val="0"/>
          <w:sz w:val="32"/>
          <w:szCs w:val="32"/>
        </w:rPr>
        <w:t>私自将位于城市主次干道或主要支路临街底层住宅改为经营性用房的，持有有效的工商营业执照且征收时仍在经营，可认定为“住改非”房屋。</w:t>
      </w:r>
    </w:p>
    <w:p>
      <w:pPr>
        <w:pStyle w:val="2"/>
        <w:keepNext w:val="0"/>
        <w:keepLines w:val="0"/>
        <w:pageBreakBefore w:val="0"/>
        <w:widowControl w:val="0"/>
        <w:kinsoku/>
        <w:wordWrap w:val="0"/>
        <w:topLinePunct w:val="0"/>
        <w:autoSpaceDE w:val="0"/>
        <w:autoSpaceDN w:val="0"/>
        <w:bidi w:val="0"/>
        <w:spacing w:line="59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（二）处理办法</w:t>
      </w:r>
    </w:p>
    <w:p>
      <w:pPr>
        <w:pStyle w:val="2"/>
        <w:keepNext w:val="0"/>
        <w:keepLines w:val="0"/>
        <w:pageBreakBefore w:val="0"/>
        <w:widowControl w:val="0"/>
        <w:kinsoku/>
        <w:wordWrap w:val="0"/>
        <w:topLinePunct w:val="0"/>
        <w:autoSpaceDE w:val="0"/>
        <w:autoSpaceDN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“住改非”房屋进深以原建筑结构临街或临主要道路第一层第一自然间计算，最多不得超过8米，一律按住宅给予征收补偿。</w:t>
      </w:r>
    </w:p>
    <w:p>
      <w:pPr>
        <w:pStyle w:val="2"/>
        <w:keepNext w:val="0"/>
        <w:keepLines w:val="0"/>
        <w:pageBreakBefore w:val="0"/>
        <w:widowControl w:val="0"/>
        <w:kinsoku/>
        <w:wordWrap w:val="0"/>
        <w:topLinePunct w:val="0"/>
        <w:autoSpaceDE w:val="0"/>
        <w:autoSpaceDN w:val="0"/>
        <w:bidi w:val="0"/>
        <w:spacing w:line="59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（三）一次性终止经营补贴</w:t>
      </w:r>
    </w:p>
    <w:p>
      <w:pPr>
        <w:pStyle w:val="2"/>
        <w:keepNext w:val="0"/>
        <w:keepLines w:val="0"/>
        <w:pageBreakBefore w:val="0"/>
        <w:widowControl w:val="0"/>
        <w:kinsoku/>
        <w:wordWrap w:val="0"/>
        <w:topLinePunct w:val="0"/>
        <w:autoSpaceDE w:val="0"/>
        <w:autoSpaceDN w:val="0"/>
        <w:bidi w:val="0"/>
        <w:spacing w:line="590" w:lineRule="exact"/>
        <w:ind w:firstLine="640" w:firstLineChars="200"/>
        <w:jc w:val="both"/>
        <w:rPr>
          <w:rFonts w:hint="eastAsia"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被征收人对本方案中所列价格无异议，在征收决定规定的签约期限内签订协议并按时搬迁的，对沿</w:t>
      </w:r>
      <w:r>
        <w:rPr>
          <w:rFonts w:hint="eastAsia" w:ascii="Times New Roman" w:hAnsi="Times New Roman" w:eastAsia="方正仿宋简体" w:cs="方正仿宋简体"/>
          <w:color w:val="auto"/>
          <w:spacing w:val="0"/>
          <w:sz w:val="32"/>
          <w:szCs w:val="32"/>
          <w:highlight w:val="none"/>
          <w:lang w:val="en-US" w:eastAsia="zh-CN"/>
        </w:rPr>
        <w:t>繁荣</w:t>
      </w:r>
      <w:r>
        <w:rPr>
          <w:rFonts w:hint="eastAsia" w:ascii="Times New Roman" w:hAnsi="Times New Roman" w:eastAsia="方正仿宋简体" w:cs="方正仿宋简体"/>
          <w:color w:val="auto"/>
          <w:spacing w:val="0"/>
          <w:sz w:val="32"/>
          <w:szCs w:val="32"/>
          <w:highlight w:val="none"/>
        </w:rPr>
        <w:t>路</w:t>
      </w:r>
      <w:r>
        <w:rPr>
          <w:rFonts w:hint="eastAsia" w:ascii="Times New Roman" w:hAnsi="Times New Roman" w:eastAsia="方正仿宋简体" w:cs="方正仿宋简体"/>
          <w:color w:val="auto"/>
          <w:spacing w:val="0"/>
          <w:sz w:val="32"/>
          <w:szCs w:val="32"/>
          <w:highlight w:val="none"/>
          <w:lang w:eastAsia="zh-CN"/>
        </w:rPr>
        <w:t>、</w:t>
      </w:r>
      <w:r>
        <w:rPr>
          <w:rFonts w:hint="eastAsia" w:ascii="Times New Roman" w:hAnsi="Times New Roman" w:eastAsia="方正仿宋简体" w:cs="方正仿宋简体"/>
          <w:color w:val="auto"/>
          <w:spacing w:val="0"/>
          <w:sz w:val="32"/>
          <w:szCs w:val="32"/>
          <w:highlight w:val="none"/>
          <w:lang w:val="en-US" w:eastAsia="zh-CN"/>
        </w:rPr>
        <w:t>三层路</w:t>
      </w:r>
      <w:r>
        <w:rPr>
          <w:rFonts w:hint="eastAsia" w:ascii="Times New Roman" w:hAnsi="Times New Roman" w:eastAsia="方正仿宋简体" w:cs="方正仿宋简体"/>
          <w:color w:val="auto"/>
          <w:spacing w:val="0"/>
          <w:sz w:val="32"/>
          <w:szCs w:val="32"/>
        </w:rPr>
        <w:t>原房屋建筑结构临街底层第一自然间的“住改非”房屋给予1500元/㎡的一次性终止经营补贴；对位于其他道路的原房屋建筑结构临街底层第一自然间的“住改非”房屋给予1000元/㎡的一次性终止经营补贴。</w:t>
      </w:r>
    </w:p>
    <w:p>
      <w:pPr>
        <w:pStyle w:val="2"/>
        <w:keepNext w:val="0"/>
        <w:keepLines w:val="0"/>
        <w:pageBreakBefore w:val="0"/>
        <w:widowControl w:val="0"/>
        <w:kinsoku/>
        <w:wordWrap w:val="0"/>
        <w:topLinePunct w:val="0"/>
        <w:autoSpaceDE w:val="0"/>
        <w:autoSpaceDN w:val="0"/>
        <w:bidi w:val="0"/>
        <w:spacing w:line="590" w:lineRule="exact"/>
        <w:ind w:firstLine="640" w:firstLineChars="200"/>
        <w:jc w:val="both"/>
        <w:rPr>
          <w:rFonts w:hint="eastAsia" w:ascii="Times New Roman" w:hAnsi="Times New Roman" w:eastAsia="方正仿宋简体" w:cs="方正仿宋简体"/>
          <w:color w:val="auto"/>
          <w:spacing w:val="0"/>
          <w:sz w:val="32"/>
          <w:szCs w:val="32"/>
        </w:rPr>
      </w:pPr>
    </w:p>
    <w:p>
      <w:pPr>
        <w:pStyle w:val="2"/>
        <w:keepNext w:val="0"/>
        <w:keepLines w:val="0"/>
        <w:pageBreakBefore w:val="0"/>
        <w:widowControl w:val="0"/>
        <w:numPr>
          <w:ilvl w:val="0"/>
          <w:numId w:val="0"/>
        </w:numPr>
        <w:kinsoku/>
        <w:wordWrap w:val="0"/>
        <w:overflowPunct/>
        <w:topLinePunct w:val="0"/>
        <w:autoSpaceDE w:val="0"/>
        <w:autoSpaceDN w:val="0"/>
        <w:bidi w:val="0"/>
        <w:adjustRightInd/>
        <w:snapToGrid/>
        <w:spacing w:line="590" w:lineRule="exact"/>
        <w:jc w:val="center"/>
        <w:textAlignment w:val="auto"/>
        <w:rPr>
          <w:rFonts w:hint="eastAsia" w:ascii="Times New Roman" w:hAnsi="Times New Roman" w:eastAsia="黑体" w:cs="黑体"/>
          <w:color w:val="auto"/>
          <w:spacing w:val="0"/>
          <w:sz w:val="32"/>
          <w:szCs w:val="32"/>
        </w:rPr>
      </w:pPr>
      <w:r>
        <w:rPr>
          <w:rFonts w:hint="eastAsia" w:ascii="Times New Roman" w:hAnsi="Times New Roman" w:eastAsia="黑体" w:cs="黑体"/>
          <w:color w:val="auto"/>
          <w:spacing w:val="0"/>
          <w:kern w:val="0"/>
          <w:sz w:val="32"/>
          <w:szCs w:val="32"/>
          <w:lang w:val="en-US" w:eastAsia="zh-CN" w:bidi="ar-SA"/>
        </w:rPr>
        <w:t xml:space="preserve">第三部分  </w:t>
      </w:r>
      <w:r>
        <w:rPr>
          <w:rFonts w:hint="eastAsia" w:ascii="Times New Roman" w:hAnsi="Times New Roman" w:eastAsia="黑体" w:cs="黑体"/>
          <w:color w:val="auto"/>
          <w:spacing w:val="0"/>
          <w:sz w:val="32"/>
          <w:szCs w:val="32"/>
        </w:rPr>
        <w:t>住宅补偿安置办法</w:t>
      </w:r>
    </w:p>
    <w:p>
      <w:pPr>
        <w:pStyle w:val="2"/>
        <w:keepNext w:val="0"/>
        <w:keepLines w:val="0"/>
        <w:pageBreakBefore w:val="0"/>
        <w:widowControl w:val="0"/>
        <w:numPr>
          <w:ilvl w:val="0"/>
          <w:numId w:val="0"/>
        </w:numPr>
        <w:kinsoku/>
        <w:wordWrap w:val="0"/>
        <w:overflowPunct/>
        <w:topLinePunct w:val="0"/>
        <w:autoSpaceDE w:val="0"/>
        <w:autoSpaceDN w:val="0"/>
        <w:bidi w:val="0"/>
        <w:adjustRightInd/>
        <w:snapToGrid/>
        <w:spacing w:line="590" w:lineRule="exact"/>
        <w:jc w:val="center"/>
        <w:textAlignment w:val="auto"/>
        <w:rPr>
          <w:rFonts w:hint="eastAsia" w:ascii="Times New Roman" w:hAnsi="Times New Roman" w:eastAsia="黑体" w:cs="黑体"/>
          <w:color w:val="auto"/>
          <w:spacing w:val="0"/>
          <w:sz w:val="32"/>
          <w:szCs w:val="32"/>
        </w:rPr>
      </w:pPr>
    </w:p>
    <w:p>
      <w:pPr>
        <w:pStyle w:val="2"/>
        <w:keepNext w:val="0"/>
        <w:keepLines w:val="0"/>
        <w:pageBreakBefore w:val="0"/>
        <w:widowControl w:val="0"/>
        <w:kinsoku/>
        <w:wordWrap w:val="0"/>
        <w:topLinePunct w:val="0"/>
        <w:autoSpaceDE w:val="0"/>
        <w:autoSpaceDN w:val="0"/>
        <w:bidi w:val="0"/>
        <w:spacing w:line="59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第十条 基本原则</w:t>
      </w:r>
    </w:p>
    <w:p>
      <w:pPr>
        <w:pStyle w:val="2"/>
        <w:keepNext w:val="0"/>
        <w:keepLines w:val="0"/>
        <w:pageBreakBefore w:val="0"/>
        <w:widowControl w:val="0"/>
        <w:kinsoku/>
        <w:wordWrap w:val="0"/>
        <w:topLinePunct w:val="0"/>
        <w:autoSpaceDE w:val="0"/>
        <w:autoSpaceDN w:val="0"/>
        <w:bidi w:val="0"/>
        <w:spacing w:line="59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（一）本方案货币补偿方式仅指房屋征收部门以向被征收人支付货币的形式完成补偿，不包括定向定价商品房安置模式。</w:t>
      </w:r>
    </w:p>
    <w:p>
      <w:pPr>
        <w:pStyle w:val="2"/>
        <w:keepNext w:val="0"/>
        <w:keepLines w:val="0"/>
        <w:pageBreakBefore w:val="0"/>
        <w:widowControl w:val="0"/>
        <w:tabs>
          <w:tab w:val="left" w:pos="560"/>
        </w:tabs>
        <w:kinsoku/>
        <w:wordWrap w:val="0"/>
        <w:topLinePunct w:val="0"/>
        <w:autoSpaceDE w:val="0"/>
        <w:autoSpaceDN w:val="0"/>
        <w:bidi w:val="0"/>
        <w:spacing w:line="61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（二）新建定向定价商品房可购换面积，按经认定的被征收住宅房屋价值补偿和装修补偿总价（选择定向定价商品房安置模式包括货币补偿20%奖励）计算。</w:t>
      </w:r>
    </w:p>
    <w:p>
      <w:pPr>
        <w:pStyle w:val="2"/>
        <w:keepNext w:val="0"/>
        <w:keepLines w:val="0"/>
        <w:pageBreakBefore w:val="0"/>
        <w:widowControl w:val="0"/>
        <w:tabs>
          <w:tab w:val="left" w:pos="560"/>
        </w:tabs>
        <w:kinsoku/>
        <w:wordWrap w:val="0"/>
        <w:topLinePunct w:val="0"/>
        <w:autoSpaceDE w:val="0"/>
        <w:autoSpaceDN w:val="0"/>
        <w:bidi w:val="0"/>
        <w:spacing w:line="61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1.持有合法产权手续的房屋，可以按其证载面积确定可购换面积；</w:t>
      </w:r>
    </w:p>
    <w:p>
      <w:pPr>
        <w:pStyle w:val="2"/>
        <w:keepNext w:val="0"/>
        <w:keepLines w:val="0"/>
        <w:pageBreakBefore w:val="0"/>
        <w:widowControl w:val="0"/>
        <w:tabs>
          <w:tab w:val="left" w:pos="560"/>
        </w:tabs>
        <w:kinsoku/>
        <w:wordWrap w:val="0"/>
        <w:topLinePunct w:val="0"/>
        <w:autoSpaceDE w:val="0"/>
        <w:autoSpaceDN w:val="0"/>
        <w:bidi w:val="0"/>
        <w:spacing w:line="61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2.</w:t>
      </w:r>
      <w:r>
        <w:rPr>
          <w:rFonts w:hint="eastAsia" w:ascii="Times New Roman" w:hAnsi="Times New Roman" w:eastAsia="方正仿宋简体" w:cs="方正仿宋简体"/>
          <w:color w:val="auto"/>
          <w:spacing w:val="-6"/>
          <w:sz w:val="32"/>
          <w:szCs w:val="32"/>
        </w:rPr>
        <w:t>未持有合法产权手续的房屋，根据《</w:t>
      </w:r>
      <w:r>
        <w:rPr>
          <w:rFonts w:hint="eastAsia" w:ascii="Times New Roman" w:hAnsi="Times New Roman" w:eastAsia="方正仿宋简体" w:cs="方正仿宋简体"/>
          <w:color w:val="auto"/>
          <w:spacing w:val="-6"/>
          <w:sz w:val="32"/>
          <w:szCs w:val="32"/>
          <w:lang w:eastAsia="zh-CN"/>
        </w:rPr>
        <w:t>中华人民共和国</w:t>
      </w:r>
      <w:r>
        <w:rPr>
          <w:rFonts w:hint="eastAsia" w:ascii="Times New Roman" w:hAnsi="Times New Roman" w:eastAsia="方正仿宋简体" w:cs="方正仿宋简体"/>
          <w:color w:val="auto"/>
          <w:spacing w:val="-6"/>
          <w:sz w:val="32"/>
          <w:szCs w:val="32"/>
        </w:rPr>
        <w:t>土地管理法》《</w:t>
      </w:r>
      <w:r>
        <w:rPr>
          <w:rFonts w:hint="eastAsia" w:ascii="Times New Roman" w:hAnsi="Times New Roman" w:eastAsia="方正仿宋简体" w:cs="方正仿宋简体"/>
          <w:color w:val="auto"/>
          <w:spacing w:val="-6"/>
          <w:sz w:val="32"/>
          <w:szCs w:val="32"/>
          <w:lang w:eastAsia="zh-CN"/>
        </w:rPr>
        <w:t>中华人民共和国</w:t>
      </w:r>
      <w:r>
        <w:rPr>
          <w:rFonts w:hint="eastAsia" w:ascii="Times New Roman" w:hAnsi="Times New Roman" w:eastAsia="方正仿宋简体" w:cs="方正仿宋简体"/>
          <w:color w:val="auto"/>
          <w:spacing w:val="-6"/>
          <w:sz w:val="32"/>
          <w:szCs w:val="32"/>
        </w:rPr>
        <w:t>城乡规划法》等法律法规有关规定，严格按“一户一宅”控制可购换面积，最高不超过360㎡（含360㎡），</w:t>
      </w:r>
      <w:r>
        <w:rPr>
          <w:rFonts w:hint="eastAsia" w:ascii="Times New Roman" w:hAnsi="Times New Roman" w:eastAsia="方正仿宋简体" w:cs="方正仿宋简体"/>
          <w:color w:val="auto"/>
          <w:spacing w:val="0"/>
          <w:sz w:val="32"/>
          <w:szCs w:val="32"/>
        </w:rPr>
        <w:t>其余被征收房屋认定可补偿面积一律实行货币补偿。</w:t>
      </w:r>
    </w:p>
    <w:p>
      <w:pPr>
        <w:pStyle w:val="2"/>
        <w:keepNext w:val="0"/>
        <w:keepLines w:val="0"/>
        <w:pageBreakBefore w:val="0"/>
        <w:widowControl w:val="0"/>
        <w:kinsoku/>
        <w:wordWrap w:val="0"/>
        <w:topLinePunct w:val="0"/>
        <w:autoSpaceDE w:val="0"/>
        <w:autoSpaceDN w:val="0"/>
        <w:bidi w:val="0"/>
        <w:spacing w:line="61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第十一条 货币补偿办法</w:t>
      </w:r>
    </w:p>
    <w:p>
      <w:pPr>
        <w:pStyle w:val="2"/>
        <w:keepNext w:val="0"/>
        <w:keepLines w:val="0"/>
        <w:pageBreakBefore w:val="0"/>
        <w:widowControl w:val="0"/>
        <w:kinsoku/>
        <w:wordWrap w:val="0"/>
        <w:topLinePunct w:val="0"/>
        <w:autoSpaceDE w:val="0"/>
        <w:autoSpaceDN w:val="0"/>
        <w:bidi w:val="0"/>
        <w:spacing w:line="61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（一）补偿标准</w:t>
      </w:r>
    </w:p>
    <w:p>
      <w:pPr>
        <w:pStyle w:val="2"/>
        <w:keepNext w:val="0"/>
        <w:keepLines w:val="0"/>
        <w:pageBreakBefore w:val="0"/>
        <w:widowControl w:val="0"/>
        <w:kinsoku/>
        <w:wordWrap w:val="0"/>
        <w:topLinePunct w:val="0"/>
        <w:autoSpaceDE w:val="0"/>
        <w:autoSpaceDN w:val="0"/>
        <w:bidi w:val="0"/>
        <w:spacing w:line="61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被征收人选择本方案所列参考价进行货币补偿的，根据房屋结构、用地性质、装修档次、总层数的不同情况按附表一、附表二所列标准补偿。</w:t>
      </w:r>
    </w:p>
    <w:p>
      <w:pPr>
        <w:pStyle w:val="2"/>
        <w:keepNext w:val="0"/>
        <w:keepLines w:val="0"/>
        <w:pageBreakBefore w:val="0"/>
        <w:widowControl w:val="0"/>
        <w:kinsoku/>
        <w:wordWrap w:val="0"/>
        <w:topLinePunct w:val="0"/>
        <w:autoSpaceDE w:val="0"/>
        <w:autoSpaceDN w:val="0"/>
        <w:bidi w:val="0"/>
        <w:spacing w:line="61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（二）奖励办法</w:t>
      </w:r>
    </w:p>
    <w:p>
      <w:pPr>
        <w:keepNext w:val="0"/>
        <w:keepLines w:val="0"/>
        <w:pageBreakBefore w:val="0"/>
        <w:widowControl w:val="0"/>
        <w:tabs>
          <w:tab w:val="center" w:pos="4252"/>
          <w:tab w:val="right" w:pos="8504"/>
        </w:tabs>
        <w:kinsoku/>
        <w:overflowPunct w:val="0"/>
        <w:topLinePunct w:val="0"/>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对在签约期限内选择货币补偿方式、签订协议并按时搬迁的被征收人，给予被征收住宅房屋价值补偿和装修补偿总价20%的货币补偿方式奖励。</w:t>
      </w:r>
    </w:p>
    <w:p>
      <w:pPr>
        <w:keepNext w:val="0"/>
        <w:keepLines w:val="0"/>
        <w:pageBreakBefore w:val="0"/>
        <w:widowControl w:val="0"/>
        <w:tabs>
          <w:tab w:val="center" w:pos="4252"/>
          <w:tab w:val="right" w:pos="8504"/>
        </w:tabs>
        <w:kinsoku/>
        <w:overflowPunct w:val="0"/>
        <w:topLinePunct w:val="0"/>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（三）结算办法</w:t>
      </w:r>
    </w:p>
    <w:p>
      <w:pPr>
        <w:pStyle w:val="2"/>
        <w:keepNext w:val="0"/>
        <w:keepLines w:val="0"/>
        <w:pageBreakBefore w:val="0"/>
        <w:widowControl w:val="0"/>
        <w:kinsoku/>
        <w:wordWrap w:val="0"/>
        <w:topLinePunct w:val="0"/>
        <w:autoSpaceDE w:val="0"/>
        <w:autoSpaceDN w:val="0"/>
        <w:bidi w:val="0"/>
        <w:spacing w:line="610" w:lineRule="exact"/>
        <w:ind w:firstLine="640" w:firstLineChars="200"/>
        <w:jc w:val="both"/>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被征收房屋货币补偿总额包括被征收房屋价值补偿（含土地补偿、房屋建安费用补偿）、装修补偿、搬迁费、临时安置费及相关奖励等，自被征收人签约并按时搬迁后一次性发放。</w:t>
      </w:r>
    </w:p>
    <w:p>
      <w:pPr>
        <w:keepNext w:val="0"/>
        <w:keepLines w:val="0"/>
        <w:pageBreakBefore w:val="0"/>
        <w:widowControl w:val="0"/>
        <w:tabs>
          <w:tab w:val="center" w:pos="4252"/>
          <w:tab w:val="right" w:pos="8504"/>
        </w:tabs>
        <w:kinsoku/>
        <w:overflowPunct w:val="0"/>
        <w:topLinePunct w:val="0"/>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第十二条 定向定价商品房安置办法</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（一）购买办法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本</w:t>
      </w:r>
      <w:r>
        <w:rPr>
          <w:rFonts w:hint="eastAsia" w:ascii="Times New Roman" w:hAnsi="Times New Roman" w:eastAsia="方正仿宋简体" w:cs="方正仿宋简体"/>
          <w:color w:val="auto"/>
          <w:spacing w:val="-11"/>
          <w:sz w:val="32"/>
          <w:szCs w:val="32"/>
        </w:rPr>
        <w:t>项目指定区域新建定</w:t>
      </w:r>
      <w:r>
        <w:rPr>
          <w:rFonts w:hint="eastAsia" w:ascii="Times New Roman" w:hAnsi="Times New Roman" w:eastAsia="方正仿宋简体" w:cs="方正仿宋简体"/>
          <w:color w:val="auto"/>
          <w:spacing w:val="-11"/>
          <w:sz w:val="32"/>
          <w:szCs w:val="32"/>
          <w:u w:val="none"/>
        </w:rPr>
        <w:t>向定价商品房评估基准价为</w:t>
      </w:r>
      <w:r>
        <w:rPr>
          <w:rFonts w:hint="eastAsia" w:eastAsia="方正仿宋简体" w:cs="方正仿宋简体"/>
          <w:color w:val="auto"/>
          <w:spacing w:val="-11"/>
          <w:sz w:val="32"/>
          <w:szCs w:val="32"/>
          <w:u w:val="none"/>
          <w:lang w:val="en-US" w:eastAsia="zh-CN"/>
        </w:rPr>
        <w:t>9568</w:t>
      </w:r>
      <w:r>
        <w:rPr>
          <w:rFonts w:hint="eastAsia" w:ascii="Times New Roman" w:hAnsi="Times New Roman" w:eastAsia="方正仿宋简体" w:cs="方正仿宋简体"/>
          <w:color w:val="auto"/>
          <w:spacing w:val="-11"/>
          <w:sz w:val="32"/>
          <w:szCs w:val="32"/>
          <w:u w:val="none"/>
        </w:rPr>
        <w:t>元/㎡</w:t>
      </w:r>
      <w:r>
        <w:rPr>
          <w:rFonts w:hint="eastAsia" w:ascii="Times New Roman" w:hAnsi="Times New Roman" w:eastAsia="方正仿宋简体" w:cs="方正仿宋简体"/>
          <w:color w:val="auto"/>
          <w:spacing w:val="0"/>
          <w:sz w:val="32"/>
          <w:szCs w:val="32"/>
          <w:u w:val="none"/>
        </w:rPr>
        <w:t>。被征收人选择定向定价商品房安置模式的，按照本方案第十条、第十一条确定被征收房屋补偿价值和可购买建筑面积，在签约期限内签订协议并按时搬迁的，可购买面积按6720元/㎡优惠结算。被征收人应按最接近可购买面积的原则选房，因定向定价商品房住宅户型、结构等原因，超过可购买建筑</w:t>
      </w:r>
      <w:r>
        <w:rPr>
          <w:rFonts w:hint="eastAsia" w:ascii="Times New Roman" w:hAnsi="Times New Roman" w:eastAsia="方正仿宋简体" w:cs="方正仿宋简体"/>
          <w:color w:val="auto"/>
          <w:spacing w:val="0"/>
          <w:sz w:val="32"/>
          <w:szCs w:val="32"/>
        </w:rPr>
        <w:t>面积部分（原则上不超过20㎡），按选房时的市场价结算。</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（二）结算办法</w:t>
      </w:r>
    </w:p>
    <w:p>
      <w:pPr>
        <w:keepNext w:val="0"/>
        <w:keepLines w:val="0"/>
        <w:pageBreakBefore w:val="0"/>
        <w:widowControl w:val="0"/>
        <w:tabs>
          <w:tab w:val="left" w:pos="510"/>
          <w:tab w:val="right" w:pos="8504"/>
        </w:tabs>
        <w:kinsoku/>
        <w:wordWrap/>
        <w:overflowPunct w:val="0"/>
        <w:topLinePunct w:val="0"/>
        <w:autoSpaceDE/>
        <w:autoSpaceDN/>
        <w:bidi w:val="0"/>
        <w:adjustRightInd w:val="0"/>
        <w:snapToGrid w:val="0"/>
        <w:spacing w:line="590" w:lineRule="exact"/>
        <w:ind w:firstLine="616"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color w:val="auto"/>
          <w:spacing w:val="-6"/>
          <w:sz w:val="32"/>
          <w:szCs w:val="32"/>
        </w:rPr>
        <w:t>定向定价商品房购房款按可购买面积实行留存。被征收房屋货币补偿总额（不含购买面积部分的临时安置费）扣除留存款项后，剩余部分及第一期临时安置费自签约并按时搬迁后一次性发放。</w:t>
      </w:r>
      <w:r>
        <w:rPr>
          <w:rFonts w:hint="eastAsia" w:ascii="Times New Roman" w:hAnsi="Times New Roman" w:eastAsia="方正仿宋简体" w:cs="方正仿宋简体"/>
          <w:b/>
          <w:bCs/>
          <w:color w:val="auto"/>
          <w:spacing w:val="0"/>
          <w:sz w:val="32"/>
          <w:szCs w:val="32"/>
        </w:rPr>
        <w:tab/>
      </w:r>
    </w:p>
    <w:p>
      <w:pPr>
        <w:keepNext w:val="0"/>
        <w:keepLines w:val="0"/>
        <w:pageBreakBefore w:val="0"/>
        <w:widowControl w:val="0"/>
        <w:tabs>
          <w:tab w:val="left" w:pos="510"/>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第十三条 产权调换办法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（一）置换办法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实行“等价置换，差价互补”，即以被征收房屋评估基准价值和用于产权调换的定向定价商品房房源的评估基准价值实行置换，并结算差价。</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被</w:t>
      </w:r>
      <w:r>
        <w:rPr>
          <w:rFonts w:hint="eastAsia" w:ascii="Times New Roman" w:hAnsi="Times New Roman" w:eastAsia="方正仿宋简体" w:cs="方正仿宋简体"/>
          <w:color w:val="auto"/>
          <w:spacing w:val="-6"/>
          <w:sz w:val="32"/>
          <w:szCs w:val="32"/>
        </w:rPr>
        <w:t>征收人选择产权调换的，按本方案第十条确定可调换面积，按本项目</w:t>
      </w:r>
      <w:r>
        <w:rPr>
          <w:rFonts w:hint="eastAsia" w:ascii="Times New Roman" w:hAnsi="Times New Roman" w:eastAsia="方正仿宋简体" w:cs="方正仿宋简体"/>
          <w:color w:val="auto"/>
          <w:spacing w:val="-6"/>
          <w:sz w:val="32"/>
          <w:szCs w:val="32"/>
          <w:lang w:val="en-US" w:eastAsia="zh-CN"/>
        </w:rPr>
        <w:t>就近</w:t>
      </w:r>
      <w:r>
        <w:rPr>
          <w:rFonts w:hint="eastAsia" w:ascii="Times New Roman" w:hAnsi="Times New Roman" w:eastAsia="方正仿宋简体" w:cs="方正仿宋简体"/>
          <w:color w:val="auto"/>
          <w:spacing w:val="-6"/>
          <w:sz w:val="32"/>
          <w:szCs w:val="32"/>
        </w:rPr>
        <w:t>指定区域新建定向定价商品房评估基</w:t>
      </w:r>
      <w:r>
        <w:rPr>
          <w:rFonts w:hint="eastAsia" w:ascii="Times New Roman" w:hAnsi="Times New Roman" w:eastAsia="方正仿宋简体" w:cs="方正仿宋简体"/>
          <w:color w:val="auto"/>
          <w:spacing w:val="-6"/>
          <w:sz w:val="32"/>
          <w:szCs w:val="32"/>
          <w:u w:val="none"/>
        </w:rPr>
        <w:t>准价9</w:t>
      </w:r>
      <w:r>
        <w:rPr>
          <w:rFonts w:hint="eastAsia" w:eastAsia="方正仿宋简体" w:cs="方正仿宋简体"/>
          <w:color w:val="auto"/>
          <w:spacing w:val="-6"/>
          <w:sz w:val="32"/>
          <w:szCs w:val="32"/>
          <w:u w:val="none"/>
          <w:lang w:val="en-US" w:eastAsia="zh-CN"/>
        </w:rPr>
        <w:t>568</w:t>
      </w:r>
      <w:r>
        <w:rPr>
          <w:rFonts w:hint="eastAsia" w:ascii="Times New Roman" w:hAnsi="Times New Roman" w:eastAsia="方正仿宋简体" w:cs="方正仿宋简体"/>
          <w:color w:val="auto"/>
          <w:spacing w:val="-6"/>
          <w:sz w:val="32"/>
          <w:szCs w:val="32"/>
          <w:u w:val="none"/>
        </w:rPr>
        <w:t>元/㎡</w:t>
      </w:r>
      <w:r>
        <w:rPr>
          <w:rFonts w:hint="eastAsia" w:ascii="Times New Roman" w:hAnsi="Times New Roman" w:eastAsia="方正仿宋简体" w:cs="方正仿宋简体"/>
          <w:color w:val="auto"/>
          <w:spacing w:val="0"/>
          <w:sz w:val="32"/>
          <w:szCs w:val="32"/>
          <w:u w:val="none"/>
        </w:rPr>
        <w:t>结算差价。被征收人应按最接近可调换面积的原则选房，因产权调换房屋户型、结构等原因，超过其可调换面积部分（</w:t>
      </w:r>
      <w:r>
        <w:rPr>
          <w:rFonts w:hint="eastAsia" w:ascii="Times New Roman" w:hAnsi="Times New Roman" w:eastAsia="方正仿宋简体" w:cs="方正仿宋简体"/>
          <w:color w:val="auto"/>
          <w:spacing w:val="0"/>
          <w:sz w:val="32"/>
          <w:szCs w:val="32"/>
        </w:rPr>
        <w:t>原则上不超过20㎡），按选房时的市场价结算。</w:t>
      </w:r>
    </w:p>
    <w:p>
      <w:pPr>
        <w:pStyle w:val="2"/>
        <w:keepNext w:val="0"/>
        <w:keepLines w:val="0"/>
        <w:pageBreakBefore w:val="0"/>
        <w:widowControl w:val="0"/>
        <w:kinsoku/>
        <w:wordWrap/>
        <w:topLinePunct w:val="0"/>
        <w:autoSpaceDE/>
        <w:autoSpaceDN/>
        <w:bidi w:val="0"/>
        <w:spacing w:line="610" w:lineRule="exact"/>
        <w:ind w:firstLine="643" w:firstLineChars="200"/>
        <w:jc w:val="both"/>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（二）结算办法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被征收人签约并按时搬迁后，先发放搬迁费、第一期临时安置费和按期搬迁奖励等。被征收人应缴的补差价（包括扩购价、层次差价）待选房后一并结算，并在规定期限内付清。</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hint="eastAsia" w:ascii="Times New Roman" w:hAnsi="Times New Roman" w:eastAsia="方正仿宋简体" w:cs="方正仿宋简体"/>
          <w:b/>
          <w:bCs/>
          <w:color w:val="auto"/>
          <w:spacing w:val="0"/>
          <w:sz w:val="32"/>
          <w:szCs w:val="32"/>
          <w:lang w:eastAsia="zh-CN"/>
        </w:rPr>
      </w:pPr>
      <w:r>
        <w:rPr>
          <w:rFonts w:hint="eastAsia" w:ascii="Times New Roman" w:hAnsi="Times New Roman" w:eastAsia="方正仿宋简体" w:cs="方正仿宋简体"/>
          <w:b/>
          <w:bCs/>
          <w:color w:val="auto"/>
          <w:spacing w:val="0"/>
          <w:sz w:val="32"/>
          <w:szCs w:val="32"/>
        </w:rPr>
        <w:t>第十四条 其</w:t>
      </w:r>
      <w:r>
        <w:rPr>
          <w:rFonts w:hint="eastAsia" w:ascii="Times New Roman" w:hAnsi="Times New Roman" w:eastAsia="方正仿宋简体" w:cs="方正仿宋简体"/>
          <w:b/>
          <w:bCs/>
          <w:color w:val="auto"/>
          <w:spacing w:val="0"/>
          <w:sz w:val="32"/>
          <w:szCs w:val="32"/>
          <w:lang w:eastAsia="zh-CN"/>
        </w:rPr>
        <w:t>他</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（一）民宅内经批准未基建的宅基地按900元/㎡标准给予补偿；在使用权方面没有争议的埕地按450元/㎡标准给予补偿。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hint="eastAsia"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（二）具有合法产权的已倒塌住宅房屋，其合法建筑面积缴纳1500元/㎡的修复差价后，按照本方案标准补偿。</w:t>
      </w:r>
    </w:p>
    <w:p>
      <w:pPr>
        <w:pStyle w:val="2"/>
        <w:keepNext w:val="0"/>
        <w:keepLines w:val="0"/>
        <w:pageBreakBefore w:val="0"/>
        <w:widowControl w:val="0"/>
        <w:kinsoku/>
        <w:wordWrap/>
        <w:topLinePunct w:val="0"/>
        <w:autoSpaceDE/>
        <w:autoSpaceDN/>
        <w:bidi w:val="0"/>
        <w:spacing w:line="610" w:lineRule="exact"/>
        <w:rPr>
          <w:color w:val="auto"/>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jc w:val="center"/>
        <w:textAlignment w:val="baseline"/>
        <w:rPr>
          <w:rFonts w:ascii="Times New Roman" w:hAnsi="Times New Roman" w:eastAsia="黑体" w:cs="黑体"/>
          <w:color w:val="auto"/>
          <w:spacing w:val="0"/>
          <w:sz w:val="32"/>
          <w:szCs w:val="32"/>
        </w:rPr>
      </w:pPr>
      <w:r>
        <w:rPr>
          <w:rFonts w:hint="eastAsia" w:ascii="Times New Roman" w:hAnsi="Times New Roman" w:eastAsia="黑体" w:cs="黑体"/>
          <w:color w:val="auto"/>
          <w:spacing w:val="0"/>
          <w:sz w:val="32"/>
          <w:szCs w:val="32"/>
        </w:rPr>
        <w:t>第四部分</w:t>
      </w:r>
      <w:r>
        <w:rPr>
          <w:rFonts w:hint="eastAsia" w:ascii="Times New Roman" w:hAnsi="Times New Roman" w:eastAsia="黑体" w:cs="黑体"/>
          <w:color w:val="auto"/>
          <w:spacing w:val="0"/>
          <w:sz w:val="32"/>
          <w:szCs w:val="32"/>
          <w:lang w:val="en-US" w:eastAsia="zh-CN"/>
        </w:rPr>
        <w:t xml:space="preserve">  </w:t>
      </w:r>
      <w:r>
        <w:rPr>
          <w:rFonts w:hint="eastAsia" w:ascii="Times New Roman" w:hAnsi="Times New Roman" w:eastAsia="黑体" w:cs="黑体"/>
          <w:color w:val="auto"/>
          <w:spacing w:val="0"/>
          <w:sz w:val="32"/>
          <w:szCs w:val="32"/>
        </w:rPr>
        <w:t>保障办法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hint="eastAsia" w:ascii="Times New Roman" w:hAnsi="Times New Roman" w:eastAsia="方正仿宋简体" w:cs="方正仿宋简体"/>
          <w:b/>
          <w:bCs/>
          <w:color w:val="auto"/>
          <w:spacing w:val="0"/>
          <w:sz w:val="32"/>
          <w:szCs w:val="32"/>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第十五条 低保群体住房保障办法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被征收人选择货币补偿的，属民政部门认定的低保对象且在中心市区无其他住房，若其被征收房屋人均建筑面积不足20㎡，则被征收房屋价值补偿款按人均建筑面积20㎡补足。</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本方案所称的“人均”的计算公式为：人均建筑面积=认定的可以补偿建筑面积÷征收决定作出前被征收房屋户口簿记载的人口数（被征收房屋户口簿记载的人口需为被征收房屋所有权人的直系亲属且为常住人口）。</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b/>
          <w:bCs/>
          <w:color w:val="auto"/>
          <w:spacing w:val="0"/>
          <w:sz w:val="32"/>
          <w:szCs w:val="32"/>
        </w:rPr>
        <w:t>第十六条 低收入住房困难家庭保障办法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被征收人选择定向定价商品房安置模式或房屋产权调换的，被征收房屋建筑面积不足当地廉租房保障标准的，按不低于当地廉</w:t>
      </w:r>
      <w:r>
        <w:rPr>
          <w:rFonts w:hint="eastAsia" w:ascii="Times New Roman" w:hAnsi="Times New Roman" w:eastAsia="方正仿宋简体" w:cs="方正仿宋简体"/>
          <w:color w:val="auto"/>
          <w:spacing w:val="-6"/>
          <w:sz w:val="32"/>
          <w:szCs w:val="32"/>
        </w:rPr>
        <w:t>租房保障标准确定可购换面积。若其被征收房屋人均建筑面积不足20㎡，可按人均建筑面积20㎡确定可购换面积。可购换面积超过被征收房屋认定可补偿面积部分，按6720元/㎡的价格结算</w:t>
      </w:r>
      <w:r>
        <w:rPr>
          <w:rFonts w:hint="eastAsia" w:ascii="Times New Roman" w:hAnsi="Times New Roman" w:eastAsia="方正仿宋简体" w:cs="方正仿宋简体"/>
          <w:color w:val="auto"/>
          <w:spacing w:val="0"/>
          <w:sz w:val="32"/>
          <w:szCs w:val="32"/>
        </w:rPr>
        <w:t>。</w:t>
      </w:r>
    </w:p>
    <w:p>
      <w:pPr>
        <w:pStyle w:val="2"/>
        <w:keepNext w:val="0"/>
        <w:keepLines w:val="0"/>
        <w:pageBreakBefore w:val="0"/>
        <w:widowControl w:val="0"/>
        <w:kinsoku/>
        <w:wordWrap/>
        <w:topLinePunct w:val="0"/>
        <w:autoSpaceDE/>
        <w:autoSpaceDN/>
        <w:bidi w:val="0"/>
        <w:spacing w:line="590" w:lineRule="exact"/>
        <w:rPr>
          <w:color w:val="auto"/>
        </w:rPr>
      </w:pPr>
    </w:p>
    <w:p>
      <w:pPr>
        <w:keepNext w:val="0"/>
        <w:keepLines w:val="0"/>
        <w:pageBreakBefore w:val="0"/>
        <w:widowControl w:val="0"/>
        <w:numPr>
          <w:ilvl w:val="0"/>
          <w:numId w:val="0"/>
        </w:numPr>
        <w:tabs>
          <w:tab w:val="center" w:pos="4252"/>
          <w:tab w:val="right" w:pos="8504"/>
        </w:tabs>
        <w:kinsoku/>
        <w:wordWrap/>
        <w:overflowPunct w:val="0"/>
        <w:topLinePunct w:val="0"/>
        <w:autoSpaceDE/>
        <w:autoSpaceDN/>
        <w:bidi w:val="0"/>
        <w:adjustRightInd w:val="0"/>
        <w:snapToGrid w:val="0"/>
        <w:spacing w:line="590" w:lineRule="exact"/>
        <w:ind w:left="0" w:leftChars="0" w:firstLine="0" w:firstLineChars="0"/>
        <w:jc w:val="center"/>
        <w:textAlignment w:val="baseline"/>
        <w:rPr>
          <w:rFonts w:ascii="Times New Roman" w:hAnsi="Times New Roman" w:eastAsia="黑体" w:cs="黑体"/>
          <w:color w:val="auto"/>
          <w:spacing w:val="0"/>
          <w:sz w:val="32"/>
          <w:szCs w:val="32"/>
        </w:rPr>
      </w:pPr>
      <w:r>
        <w:rPr>
          <w:rFonts w:hint="eastAsia" w:ascii="Times New Roman" w:hAnsi="Times New Roman" w:eastAsia="黑体" w:cs="黑体"/>
          <w:color w:val="auto"/>
          <w:spacing w:val="0"/>
          <w:kern w:val="2"/>
          <w:sz w:val="32"/>
          <w:szCs w:val="32"/>
          <w:lang w:val="en-US" w:eastAsia="zh-CN" w:bidi="ar-SA"/>
        </w:rPr>
        <w:t>第五部分</w:t>
      </w:r>
      <w:r>
        <w:rPr>
          <w:rFonts w:hint="eastAsia" w:ascii="Times New Roman" w:hAnsi="Times New Roman" w:eastAsia="黑体" w:cs="黑体"/>
          <w:color w:val="auto"/>
          <w:spacing w:val="0"/>
          <w:sz w:val="32"/>
          <w:szCs w:val="32"/>
          <w:lang w:val="en-US" w:eastAsia="zh-CN"/>
        </w:rPr>
        <w:t xml:space="preserve">  </w:t>
      </w:r>
      <w:r>
        <w:rPr>
          <w:rFonts w:hint="eastAsia" w:ascii="Times New Roman" w:hAnsi="Times New Roman" w:eastAsia="黑体" w:cs="黑体"/>
          <w:color w:val="auto"/>
          <w:spacing w:val="0"/>
          <w:sz w:val="32"/>
          <w:szCs w:val="32"/>
        </w:rPr>
        <w:t>企业厂房、仓库及其他配套用房补偿办法</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Times New Roman" w:hAnsi="Times New Roman" w:eastAsia="方正仿宋简体" w:cs="方正仿宋简体"/>
          <w:color w:val="auto"/>
          <w:spacing w:val="0"/>
          <w:sz w:val="32"/>
          <w:szCs w:val="32"/>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color w:val="auto"/>
          <w:spacing w:val="0"/>
          <w:sz w:val="32"/>
          <w:szCs w:val="32"/>
        </w:rPr>
        <w:t>企业厂房、仓库及其他配套用房实行货币补偿，并给予征收造成的设备搬迁费用、停产停业损失补偿。</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b/>
          <w:bCs/>
          <w:color w:val="auto"/>
          <w:spacing w:val="0"/>
          <w:sz w:val="32"/>
          <w:szCs w:val="32"/>
        </w:rPr>
        <w:t>第十七条 企业厂房、仓库及其他配套用房补偿标准</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ab/>
      </w:r>
      <w:r>
        <w:rPr>
          <w:rFonts w:hint="eastAsia" w:ascii="Times New Roman" w:hAnsi="Times New Roman" w:eastAsia="方正仿宋简体" w:cs="方正仿宋简体"/>
          <w:color w:val="auto"/>
          <w:spacing w:val="0"/>
          <w:sz w:val="32"/>
          <w:szCs w:val="32"/>
        </w:rPr>
        <w:t>（一）合法企业厂房、仓库及其他配套用房等地上建筑物按附表四的价格给予货币补偿。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（二）基建手续不完整的企业厂房、仓库及其他配套用房，被征收人在签约期限内签订协议并按时搬迁的，可按以下办法进行处理：</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1.1995年12月25日后，土地已批但未经规划建设部门批准建设的工业用房，地上建筑物按附表四重置价的90%给予补偿。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2.使用未经批准土地建设的工业用房，地上建筑物按附表四重置价的70%给予补偿。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3.纳入2003年建设用地历史遗留问题处理范围（以市城乡规划局红线图为准）的企业用地及社区用地，土地按25.28万元/亩给予补偿，按照《福建省人民政府关于妥善处理建设用地历史遗留问题的通知》（闽政〔2003〕7号）及《关于妥善处理建设用地历史遗留问题的实施意见》（泉政办〔2003〕127号）文件精神补交相关规费，补办征用补偿手续。地上建筑物按附表四重置价的80%给予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以上类型房屋若存在权属纠纷，证据保全后先予征收。</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第十八条 企业用地补偿标准</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（一）经批准并办理国有土地使用权证的国有出让土地，收回国有出让土地使用权，按48.73万元/亩给予补偿，收回并注销国有土地使用权证。</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（二）经批准并办理国有划拨土地使用权证的国有划拨土地，收回国有划拨土地使用权，按34.11万元/亩给予补偿，收回并注销国有划拨土地使用权证。</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（三）征收未办理审批手续的企业用地，按17.06万元/亩给予补偿。</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第十九条 奖励办法</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hint="eastAsia"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被征收人对本方案所列价格无异议、在征收决定公告规定期限内签订协议并按时搬迁腾空的，以经认定的建筑及用地可补偿面积，按相对应的补偿标准给予10%的优惠奖励。</w:t>
      </w:r>
    </w:p>
    <w:p>
      <w:pPr>
        <w:pStyle w:val="2"/>
        <w:rPr>
          <w:rFonts w:hint="eastAsia" w:ascii="Times New Roman" w:hAnsi="Times New Roman" w:eastAsia="方正仿宋简体" w:cs="方正仿宋简体"/>
          <w:color w:val="auto"/>
          <w:spacing w:val="0"/>
          <w:sz w:val="32"/>
          <w:szCs w:val="32"/>
        </w:rPr>
      </w:pPr>
    </w:p>
    <w:p>
      <w:pPr>
        <w:keepNext w:val="0"/>
        <w:keepLines w:val="0"/>
        <w:pageBreakBefore w:val="0"/>
        <w:widowControl w:val="0"/>
        <w:numPr>
          <w:ilvl w:val="0"/>
          <w:numId w:val="0"/>
        </w:numPr>
        <w:tabs>
          <w:tab w:val="center" w:pos="4252"/>
          <w:tab w:val="right" w:pos="8504"/>
        </w:tabs>
        <w:kinsoku/>
        <w:wordWrap/>
        <w:overflowPunct w:val="0"/>
        <w:topLinePunct w:val="0"/>
        <w:autoSpaceDE/>
        <w:autoSpaceDN/>
        <w:bidi w:val="0"/>
        <w:adjustRightInd w:val="0"/>
        <w:snapToGrid w:val="0"/>
        <w:spacing w:line="590" w:lineRule="exact"/>
        <w:jc w:val="center"/>
        <w:textAlignment w:val="baseline"/>
        <w:rPr>
          <w:rFonts w:ascii="Times New Roman" w:hAnsi="Times New Roman" w:eastAsia="黑体" w:cs="黑体"/>
          <w:color w:val="auto"/>
          <w:spacing w:val="0"/>
          <w:sz w:val="32"/>
          <w:szCs w:val="32"/>
        </w:rPr>
      </w:pPr>
      <w:r>
        <w:rPr>
          <w:rFonts w:hint="eastAsia" w:ascii="Times New Roman" w:hAnsi="Times New Roman" w:eastAsia="黑体" w:cs="黑体"/>
          <w:color w:val="auto"/>
          <w:spacing w:val="0"/>
          <w:kern w:val="2"/>
          <w:sz w:val="32"/>
          <w:szCs w:val="32"/>
          <w:lang w:val="en-US" w:eastAsia="zh-CN" w:bidi="ar-SA"/>
        </w:rPr>
        <w:t>第六部分</w:t>
      </w:r>
      <w:r>
        <w:rPr>
          <w:rFonts w:hint="eastAsia" w:ascii="Times New Roman" w:hAnsi="Times New Roman" w:eastAsia="黑体" w:cs="黑体"/>
          <w:color w:val="auto"/>
          <w:spacing w:val="0"/>
          <w:sz w:val="32"/>
          <w:szCs w:val="32"/>
          <w:lang w:val="en-US" w:eastAsia="zh-CN"/>
        </w:rPr>
        <w:t xml:space="preserve">  </w:t>
      </w:r>
      <w:r>
        <w:rPr>
          <w:rFonts w:hint="eastAsia" w:ascii="Times New Roman" w:hAnsi="Times New Roman" w:eastAsia="黑体" w:cs="黑体"/>
          <w:color w:val="auto"/>
          <w:spacing w:val="0"/>
          <w:sz w:val="32"/>
          <w:szCs w:val="32"/>
        </w:rPr>
        <w:t>搬迁费、临时安置费和停产停业损失补偿标准</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hint="eastAsia" w:ascii="Times New Roman" w:hAnsi="Times New Roman" w:eastAsia="方正仿宋简体" w:cs="方正仿宋简体"/>
          <w:b/>
          <w:bCs/>
          <w:color w:val="auto"/>
          <w:spacing w:val="0"/>
          <w:sz w:val="32"/>
          <w:szCs w:val="32"/>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第二十条 住宅按期搬迁奖励</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对在征收决定规定的签约期限内签订协议并按时搬迁的被征收人，房屋征收部门可以给予一定的按期搬迁奖励：民宅每产权户最高5万元（被征收房屋经认定的可补偿面积少于50㎡的按1000元/㎡计算），套房每产权户最高3万元。</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“产权户”的认定标准以有效的土地使用权契证或房屋所有权契证为计户依据。</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第二十一条 搬迁费</w:t>
      </w:r>
    </w:p>
    <w:p>
      <w:pPr>
        <w:keepNext w:val="0"/>
        <w:keepLines w:val="0"/>
        <w:pageBreakBefore w:val="0"/>
        <w:widowControl w:val="0"/>
        <w:numPr>
          <w:ilvl w:val="0"/>
          <w:numId w:val="5"/>
        </w:numPr>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住宅</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highlight w:val="yellow"/>
        </w:rPr>
      </w:pPr>
      <w:r>
        <w:rPr>
          <w:rFonts w:hint="eastAsia" w:ascii="Times New Roman" w:hAnsi="Times New Roman" w:eastAsia="方正仿宋简体" w:cs="方正仿宋简体"/>
          <w:color w:val="auto"/>
          <w:spacing w:val="0"/>
          <w:sz w:val="32"/>
          <w:szCs w:val="32"/>
        </w:rPr>
        <w:t>按经认定的可补偿面积计算，标准为5元/㎡·次。其中，选择货币补偿的，发放一次搬迁费；选择定向定价商品房安置模式或产权调换的，发放两次搬迁费。每户搬迁补助不足1000元的，按1000元给予补偿。</w:t>
      </w:r>
    </w:p>
    <w:p>
      <w:pPr>
        <w:keepNext w:val="0"/>
        <w:keepLines w:val="0"/>
        <w:pageBreakBefore w:val="0"/>
        <w:widowControl w:val="0"/>
        <w:numPr>
          <w:ilvl w:val="0"/>
          <w:numId w:val="5"/>
        </w:numPr>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企业</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按经认定的可补偿建筑面积计算，标准为6元/㎡·次。被征收人选择货币补偿的，发放一次搬迁费。</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对于可恢复使用的设备由被征收人处置，按附表五标准给予一次性补偿，分户评估的不再适用本条款；对于因搬迁丧失使用功能的大型机器设备，由被征收人提出申请，由项目指挥部牵头，经征收实施单位、发改、审计、财政五方现场核实后，由具有相应资质的评估公司进行评估，根据评估结果进行补偿。</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第二十二条 住宅临时安置费</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（一）过渡方式</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本项目采用自行过渡方式。</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（二）过渡期限</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过渡期限为36个月。被征收人在签约期限内签订协议并按时搬迁的，过渡期限自签约期限结束之日起计算；超过签约期限签订协议搬迁的，过渡期限自搬迁之日起开始计算。</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（三）临时安置费</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临时安置费按经被征收房屋认定可补偿面积以8元/㎡·月计算，每户保底1200元/月。</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选择货币补偿或现房产权调换的，一次性给予6个月的临时安置费。</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选择定向定价商品房安置模式或产权调换的，临时安置费自被征收人签订协议并按时搬迁之日起，发放至房屋征收部门通知交房之日止。除不可抗力外，新建定向定价商品房超过过渡期限未交付使用，从逾期之月起向自行过渡的被征收人支付双倍临时安置费。享受保底临时安置费的被征收人遇逾期安置时，若按其认定可补偿面积双倍计算临时安置费超过保底标准的，按认定可补偿面积重新核算，不超过保底标准的仍按原保底标准执行，不予双倍支付。</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61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第二十三条 企业厂房、仓库及其他配套用房停产停业损失补偿</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因征收房屋造成停产停业的，一次性给予6个月的补偿，被征收人可选择以下标准之一进行补偿：</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一）根据经营者近3年平均净利润确定，不足3年的以全部生产经营期间平均净利润确定。净利润根据税务部门的税后利润额证明材料确定；税务部门无法出具证明的，根据具备相应资质的会计师事务所出具的企业年度审计报告确定。</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（二）按经认定可补偿的建筑面积计算，标准为18元/㎡·月计算。</w:t>
      </w:r>
    </w:p>
    <w:p>
      <w:pPr>
        <w:pStyle w:val="2"/>
        <w:keepNext w:val="0"/>
        <w:keepLines w:val="0"/>
        <w:pageBreakBefore w:val="0"/>
        <w:widowControl w:val="0"/>
        <w:kinsoku/>
        <w:wordWrap/>
        <w:topLinePunct w:val="0"/>
        <w:autoSpaceDE/>
        <w:autoSpaceDN/>
        <w:bidi w:val="0"/>
        <w:spacing w:line="590" w:lineRule="exact"/>
        <w:rPr>
          <w:color w:val="auto"/>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jc w:val="center"/>
        <w:textAlignment w:val="baseline"/>
        <w:rPr>
          <w:rFonts w:ascii="Times New Roman" w:hAnsi="Times New Roman" w:eastAsia="黑体" w:cs="黑体"/>
          <w:color w:val="auto"/>
          <w:spacing w:val="0"/>
          <w:sz w:val="32"/>
          <w:szCs w:val="32"/>
        </w:rPr>
      </w:pPr>
      <w:r>
        <w:rPr>
          <w:rFonts w:hint="eastAsia" w:ascii="Times New Roman" w:hAnsi="Times New Roman" w:eastAsia="黑体" w:cs="黑体"/>
          <w:color w:val="auto"/>
          <w:spacing w:val="0"/>
          <w:sz w:val="32"/>
          <w:szCs w:val="32"/>
        </w:rPr>
        <w:t>第七部分  补偿决定</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hint="eastAsia" w:ascii="Times New Roman" w:hAnsi="Times New Roman" w:eastAsia="方正仿宋简体" w:cs="方正仿宋简体"/>
          <w:b/>
          <w:bCs/>
          <w:color w:val="auto"/>
          <w:spacing w:val="0"/>
          <w:sz w:val="32"/>
          <w:szCs w:val="32"/>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第二十四条 补偿决定</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房屋征收部门与被征收人在房屋征收决定规定的签约期限内达不成补偿协议，或者被征收房屋所有权人不明确的，由房屋征收部门报请作出房屋征收决定的泉州市鲤城区人民政府按照征收补偿方案及房地产价格评估机构出具的评估结果作出补偿决定，并在房屋征收范围内予以公告。</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被征收人对补偿决定不服的，可以依法申请行政复议，也可以依法提起行政诉讼。被征收人在法定期限内不申请行政复议或者不提起行政诉讼，在补偿决定规定的期限内又不搬迁的，由作出补偿决定的泉州市鲤城区人民政府依法向人民法院申请强制执行。</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0" w:firstLineChars="200"/>
        <w:jc w:val="both"/>
        <w:textAlignment w:val="baseline"/>
        <w:rPr>
          <w:rFonts w:hint="eastAsia"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凡被实施强制征收的房屋，不再适用本方案规定的优惠奖励办法。</w:t>
      </w:r>
    </w:p>
    <w:p>
      <w:pPr>
        <w:pStyle w:val="2"/>
        <w:keepNext w:val="0"/>
        <w:keepLines w:val="0"/>
        <w:pageBreakBefore w:val="0"/>
        <w:widowControl w:val="0"/>
        <w:kinsoku/>
        <w:wordWrap/>
        <w:topLinePunct w:val="0"/>
        <w:autoSpaceDE/>
        <w:autoSpaceDN/>
        <w:bidi w:val="0"/>
        <w:spacing w:line="590" w:lineRule="exact"/>
        <w:rPr>
          <w:color w:val="auto"/>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jc w:val="center"/>
        <w:textAlignment w:val="baseline"/>
        <w:rPr>
          <w:rFonts w:ascii="Times New Roman" w:hAnsi="Times New Roman" w:eastAsia="黑体" w:cs="黑体"/>
          <w:color w:val="auto"/>
          <w:spacing w:val="0"/>
          <w:sz w:val="32"/>
          <w:szCs w:val="32"/>
        </w:rPr>
      </w:pPr>
      <w:r>
        <w:rPr>
          <w:rFonts w:hint="eastAsia" w:ascii="Times New Roman" w:hAnsi="Times New Roman" w:eastAsia="黑体" w:cs="黑体"/>
          <w:color w:val="auto"/>
          <w:spacing w:val="0"/>
          <w:sz w:val="32"/>
          <w:szCs w:val="32"/>
        </w:rPr>
        <w:t>第八部分  附 则</w:t>
      </w: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hint="eastAsia" w:ascii="Times New Roman" w:hAnsi="Times New Roman" w:eastAsia="方正仿宋简体" w:cs="方正仿宋简体"/>
          <w:b/>
          <w:bCs/>
          <w:color w:val="auto"/>
          <w:spacing w:val="0"/>
          <w:sz w:val="32"/>
          <w:szCs w:val="32"/>
        </w:rPr>
      </w:pPr>
    </w:p>
    <w:p>
      <w:pPr>
        <w:keepNext w:val="0"/>
        <w:keepLines w:val="0"/>
        <w:pageBreakBefore w:val="0"/>
        <w:widowControl w:val="0"/>
        <w:tabs>
          <w:tab w:val="center" w:pos="4252"/>
          <w:tab w:val="right" w:pos="8504"/>
        </w:tabs>
        <w:kinsoku/>
        <w:wordWrap/>
        <w:overflowPunct w:val="0"/>
        <w:topLinePunct w:val="0"/>
        <w:autoSpaceDE/>
        <w:autoSpaceDN/>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第二十五条 适用范围</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本方案仅适用于</w:t>
      </w:r>
      <w:r>
        <w:rPr>
          <w:rFonts w:hint="eastAsia" w:eastAsia="方正仿宋简体" w:cs="方正仿宋简体"/>
          <w:color w:val="auto"/>
          <w:sz w:val="32"/>
          <w:szCs w:val="32"/>
          <w:highlight w:val="none"/>
        </w:rPr>
        <w:t>鲤城区水生态治理中心</w:t>
      </w:r>
      <w:r>
        <w:rPr>
          <w:rFonts w:hint="eastAsia" w:ascii="Times New Roman" w:hAnsi="Times New Roman" w:eastAsia="方正仿宋简体" w:cs="方正仿宋简体"/>
          <w:color w:val="auto"/>
          <w:spacing w:val="0"/>
          <w:sz w:val="32"/>
          <w:szCs w:val="32"/>
        </w:rPr>
        <w:t>征收范围内国有土地上房屋的征收补偿安置。</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第二十六条 违法、违章建筑</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（一）对认定为违法违章建筑和超过批准期限的临时建筑一律不予赔偿。</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（二）本项目自征收范围发布之后抢建的房屋，一律不予赔偿，并强制拆除。</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0"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color w:val="auto"/>
          <w:spacing w:val="0"/>
          <w:sz w:val="32"/>
          <w:szCs w:val="32"/>
        </w:rPr>
        <w:t>（三）违章建筑的认定，以地形图、遥感图和相关文件等为主要依据。</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color w:val="auto"/>
          <w:spacing w:val="0"/>
          <w:sz w:val="32"/>
          <w:szCs w:val="32"/>
        </w:rPr>
      </w:pPr>
      <w:r>
        <w:rPr>
          <w:rFonts w:hint="eastAsia" w:ascii="Times New Roman" w:hAnsi="Times New Roman" w:eastAsia="方正仿宋简体" w:cs="方正仿宋简体"/>
          <w:b/>
          <w:bCs/>
          <w:color w:val="auto"/>
          <w:spacing w:val="0"/>
          <w:sz w:val="32"/>
          <w:szCs w:val="32"/>
        </w:rPr>
        <w:t>第二十七条</w:t>
      </w:r>
      <w:r>
        <w:rPr>
          <w:rFonts w:hint="eastAsia" w:ascii="Times New Roman" w:hAnsi="Times New Roman" w:eastAsia="方正仿宋简体" w:cs="方正仿宋简体"/>
          <w:color w:val="auto"/>
          <w:spacing w:val="0"/>
          <w:sz w:val="32"/>
          <w:szCs w:val="32"/>
        </w:rPr>
        <w:t xml:space="preserve"> 社区集体公产，按本实施方案规定标准补偿安置，权益归社区集体所有。</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b/>
          <w:bCs/>
          <w:color w:val="auto"/>
          <w:spacing w:val="0"/>
          <w:sz w:val="32"/>
          <w:szCs w:val="32"/>
        </w:rPr>
      </w:pPr>
      <w:r>
        <w:rPr>
          <w:rFonts w:hint="eastAsia" w:ascii="Times New Roman" w:hAnsi="Times New Roman" w:eastAsia="方正仿宋简体" w:cs="方正仿宋简体"/>
          <w:b/>
          <w:bCs/>
          <w:color w:val="auto"/>
          <w:spacing w:val="0"/>
          <w:sz w:val="32"/>
          <w:szCs w:val="32"/>
        </w:rPr>
        <w:t>第二十八条</w:t>
      </w:r>
      <w:r>
        <w:rPr>
          <w:rFonts w:hint="eastAsia" w:ascii="Times New Roman" w:hAnsi="Times New Roman" w:eastAsia="方正仿宋简体" w:cs="方正仿宋简体"/>
          <w:color w:val="auto"/>
          <w:spacing w:val="0"/>
          <w:sz w:val="32"/>
          <w:szCs w:val="32"/>
        </w:rPr>
        <w:t xml:space="preserve"> 本方案自征收决定公告发布之日起实施，未尽事宜按相关</w:t>
      </w:r>
      <w:r>
        <w:rPr>
          <w:rFonts w:hint="eastAsia" w:eastAsia="方正仿宋简体" w:cs="方正仿宋简体"/>
          <w:color w:val="auto"/>
          <w:spacing w:val="0"/>
          <w:sz w:val="32"/>
          <w:szCs w:val="32"/>
          <w:lang w:eastAsia="zh-CN"/>
        </w:rPr>
        <w:t>法律法规</w:t>
      </w:r>
      <w:r>
        <w:rPr>
          <w:rFonts w:hint="eastAsia" w:ascii="Times New Roman" w:hAnsi="Times New Roman" w:eastAsia="方正仿宋简体" w:cs="方正仿宋简体"/>
          <w:color w:val="auto"/>
          <w:spacing w:val="0"/>
          <w:sz w:val="32"/>
          <w:szCs w:val="32"/>
        </w:rPr>
        <w:t>的规定执行。</w:t>
      </w:r>
    </w:p>
    <w:p>
      <w:pPr>
        <w:keepNext w:val="0"/>
        <w:keepLines w:val="0"/>
        <w:pageBreakBefore w:val="0"/>
        <w:widowControl w:val="0"/>
        <w:tabs>
          <w:tab w:val="center" w:pos="4252"/>
          <w:tab w:val="right" w:pos="8504"/>
        </w:tabs>
        <w:kinsoku/>
        <w:overflowPunct w:val="0"/>
        <w:topLinePunct w:val="0"/>
        <w:bidi w:val="0"/>
        <w:adjustRightInd w:val="0"/>
        <w:snapToGrid w:val="0"/>
        <w:spacing w:line="590" w:lineRule="exact"/>
        <w:ind w:firstLine="643" w:firstLineChars="200"/>
        <w:jc w:val="both"/>
        <w:textAlignment w:val="baseline"/>
        <w:rPr>
          <w:rFonts w:ascii="Times New Roman" w:hAnsi="Times New Roman" w:eastAsia="方正仿宋简体" w:cs="方正仿宋简体"/>
          <w:color w:val="auto"/>
          <w:spacing w:val="-11"/>
          <w:sz w:val="32"/>
          <w:szCs w:val="32"/>
        </w:rPr>
      </w:pPr>
      <w:r>
        <w:rPr>
          <w:rFonts w:hint="eastAsia" w:ascii="Times New Roman" w:hAnsi="Times New Roman" w:eastAsia="方正仿宋简体" w:cs="方正仿宋简体"/>
          <w:b/>
          <w:bCs/>
          <w:color w:val="auto"/>
          <w:spacing w:val="0"/>
          <w:sz w:val="32"/>
          <w:szCs w:val="32"/>
        </w:rPr>
        <w:t>第二十九条</w:t>
      </w:r>
      <w:r>
        <w:rPr>
          <w:rFonts w:hint="eastAsia" w:ascii="Times New Roman" w:hAnsi="Times New Roman" w:eastAsia="方正仿宋简体" w:cs="方正仿宋简体"/>
          <w:color w:val="auto"/>
          <w:spacing w:val="-11"/>
          <w:sz w:val="32"/>
          <w:szCs w:val="32"/>
        </w:rPr>
        <w:t xml:space="preserve"> 本方案解释权归泉州市鲤城区住房和城乡建设局。</w:t>
      </w:r>
    </w:p>
    <w:p>
      <w:pPr>
        <w:pStyle w:val="2"/>
        <w:keepNext w:val="0"/>
        <w:keepLines w:val="0"/>
        <w:pageBreakBefore w:val="0"/>
        <w:widowControl w:val="0"/>
        <w:wordWrap w:val="0"/>
        <w:topLinePunct w:val="0"/>
        <w:autoSpaceDE w:val="0"/>
        <w:autoSpaceDN w:val="0"/>
        <w:bidi w:val="0"/>
        <w:spacing w:line="600" w:lineRule="exact"/>
        <w:ind w:firstLine="596" w:firstLineChars="200"/>
        <w:jc w:val="left"/>
        <w:rPr>
          <w:rFonts w:ascii="Times New Roman" w:hAnsi="Times New Roman" w:eastAsia="方正仿宋简体" w:cs="方正仿宋简体"/>
          <w:color w:val="auto"/>
          <w:spacing w:val="-11"/>
          <w:sz w:val="32"/>
          <w:szCs w:val="32"/>
        </w:rPr>
        <w:sectPr>
          <w:footerReference r:id="rId4" w:type="default"/>
          <w:pgSz w:w="11906" w:h="16838"/>
          <w:pgMar w:top="1928" w:right="1474" w:bottom="1701" w:left="1587" w:header="851" w:footer="992" w:gutter="0"/>
          <w:pgNumType w:fmt="decimal"/>
          <w:cols w:space="720" w:num="1"/>
          <w:docGrid w:type="lines" w:linePitch="312" w:charSpace="0"/>
        </w:sectPr>
      </w:pPr>
    </w:p>
    <w:p>
      <w:pPr>
        <w:keepNext w:val="0"/>
        <w:keepLines w:val="0"/>
        <w:pageBreakBefore w:val="0"/>
        <w:widowControl w:val="0"/>
        <w:topLinePunct w:val="0"/>
        <w:bidi w:val="0"/>
        <w:spacing w:line="590" w:lineRule="exact"/>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附表一</w:t>
      </w:r>
    </w:p>
    <w:p>
      <w:pPr>
        <w:keepNext w:val="0"/>
        <w:keepLines w:val="0"/>
        <w:pageBreakBefore w:val="0"/>
        <w:widowControl w:val="0"/>
        <w:topLinePunct w:val="0"/>
        <w:bidi w:val="0"/>
        <w:spacing w:line="590" w:lineRule="exact"/>
        <w:jc w:val="center"/>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被征收住宅补偿单价表</w:t>
      </w:r>
    </w:p>
    <w:p>
      <w:pPr>
        <w:keepNext w:val="0"/>
        <w:keepLines w:val="0"/>
        <w:pageBreakBefore w:val="0"/>
        <w:widowControl w:val="0"/>
        <w:topLinePunct w:val="0"/>
        <w:bidi w:val="0"/>
        <w:spacing w:line="590" w:lineRule="exact"/>
        <w:jc w:val="right"/>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单位：元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w:t>
      </w:r>
    </w:p>
    <w:tbl>
      <w:tblPr>
        <w:tblStyle w:val="4"/>
        <w:tblW w:w="9005" w:type="dxa"/>
        <w:jc w:val="center"/>
        <w:tblLayout w:type="fixed"/>
        <w:tblCellMar>
          <w:top w:w="0" w:type="dxa"/>
          <w:left w:w="108" w:type="dxa"/>
          <w:bottom w:w="0" w:type="dxa"/>
          <w:right w:w="108" w:type="dxa"/>
        </w:tblCellMar>
      </w:tblPr>
      <w:tblGrid>
        <w:gridCol w:w="2165"/>
        <w:gridCol w:w="1260"/>
        <w:gridCol w:w="1440"/>
        <w:gridCol w:w="1440"/>
        <w:gridCol w:w="1260"/>
        <w:gridCol w:w="1440"/>
      </w:tblGrid>
      <w:tr>
        <w:tblPrEx>
          <w:tblCellMar>
            <w:top w:w="0" w:type="dxa"/>
            <w:left w:w="108" w:type="dxa"/>
            <w:bottom w:w="0" w:type="dxa"/>
            <w:right w:w="108" w:type="dxa"/>
          </w:tblCellMar>
        </w:tblPrEx>
        <w:trPr>
          <w:trHeight w:val="1134" w:hRule="atLeast"/>
          <w:jc w:val="center"/>
        </w:trPr>
        <w:tc>
          <w:tcPr>
            <w:tcW w:w="2165" w:type="dxa"/>
            <w:tcBorders>
              <w:top w:val="single" w:color="auto" w:sz="4" w:space="0"/>
              <w:left w:val="single" w:color="auto" w:sz="4" w:space="0"/>
              <w:bottom w:val="single" w:color="auto" w:sz="4" w:space="0"/>
              <w:right w:val="single" w:color="auto" w:sz="4" w:space="0"/>
            </w:tcBorders>
            <w:noWrap/>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topLinePunct w:val="0"/>
              <w:bidi w:val="0"/>
              <w:snapToGrid w:val="0"/>
              <w:jc w:val="center"/>
              <w:rPr>
                <w:rFonts w:hint="eastAsia" w:ascii="Times New Roman" w:hAnsi="Times New Roman" w:eastAsia="方正仿宋简体" w:cs="方正仿宋简体"/>
                <w:b/>
                <w:bCs/>
                <w:color w:val="auto"/>
                <w:sz w:val="28"/>
                <w:szCs w:val="28"/>
              </w:rPr>
            </w:pPr>
          </w:p>
          <w:p>
            <w:pPr>
              <w:pStyle w:val="2"/>
              <w:keepNext w:val="0"/>
              <w:keepLines w:val="0"/>
              <w:pageBreakBefore w:val="0"/>
              <w:widowControl w:val="0"/>
              <w:topLinePunct w:val="0"/>
              <w:bidi w:val="0"/>
              <w:snapToGrid w:val="0"/>
              <w:spacing w:line="240" w:lineRule="auto"/>
              <w:rPr>
                <w:rFonts w:hint="eastAsia" w:ascii="Times New Roman" w:hAnsi="Times New Roman" w:eastAsia="方正仿宋简体" w:cs="方正仿宋简体"/>
                <w:b/>
                <w:bCs/>
                <w:color w:val="auto"/>
                <w:sz w:val="28"/>
                <w:szCs w:val="28"/>
              </w:rPr>
            </w:pPr>
          </w:p>
          <w:p>
            <w:pPr>
              <w:pStyle w:val="2"/>
              <w:keepNext w:val="0"/>
              <w:keepLines w:val="0"/>
              <w:pageBreakBefore w:val="0"/>
              <w:widowControl w:val="0"/>
              <w:topLinePunct w:val="0"/>
              <w:bidi w:val="0"/>
              <w:snapToGrid w:val="0"/>
              <w:spacing w:line="240" w:lineRule="auto"/>
              <mc:AlternateContent>
                <mc:Choice Requires="wpsCustomData">
                  <wpsCustomData:diagonalParaType/>
                </mc:Choice>
              </mc:AlternateContent>
              <w:rPr>
                <w:rFonts w:hint="eastAsia" w:ascii="Times New Roman" w:hAnsi="Times New Roman" w:eastAsia="方正仿宋简体" w:cs="方正仿宋简体"/>
                <w:b/>
                <w:bCs/>
                <w:color w:val="auto"/>
                <w:sz w:val="28"/>
                <w:szCs w:val="28"/>
                <w:lang w:eastAsia="zh-CN"/>
              </w:rPr>
            </w:pPr>
            <w:r>
              <w:rPr>
                <w:rFonts w:hint="eastAsia" w:ascii="Times New Roman" w:hAnsi="Times New Roman" w:eastAsia="方正仿宋简体" w:cs="方正仿宋简体"/>
                <w:b/>
                <w:bCs/>
                <w:color w:val="auto"/>
                <w:sz w:val="28"/>
                <w:szCs w:val="28"/>
                <w:lang w:eastAsia="zh-CN"/>
              </w:rPr>
              <w:t>结构</w:t>
            </w:r>
          </w:p>
          <w:p>
            <w:pPr>
              <w:pStyle w:val="2"/>
              <w:keepNext w:val="0"/>
              <w:keepLines w:val="0"/>
              <w:pageBreakBefore w:val="0"/>
              <w:widowControl w:val="0"/>
              <w:topLinePunct w:val="0"/>
              <w:bidi w:val="0"/>
              <w:ind w:firstLine="281" w:firstLineChars="100"/>
              <w:rPr>
                <w:rFonts w:hint="eastAsia" w:ascii="Times New Roman" w:hAnsi="Times New Roman" w:eastAsia="方正仿宋简体" w:cs="方正仿宋简体"/>
                <w:b/>
                <w:bCs/>
                <w:color w:val="auto"/>
                <w:sz w:val="28"/>
                <w:szCs w:val="28"/>
              </w:rPr>
            </w:pPr>
            <w:r>
              <w:rPr>
                <w:rFonts w:hint="eastAsia" w:ascii="Times New Roman" w:hAnsi="Times New Roman" w:eastAsia="方正仿宋简体" w:cs="方正仿宋简体"/>
                <w:b/>
                <w:bCs/>
                <w:color w:val="auto"/>
                <w:sz w:val="28"/>
                <w:szCs w:val="28"/>
              </w:rPr>
              <w:t>层数</w:t>
            </w:r>
          </w:p>
        </w:tc>
        <w:tc>
          <w:tcPr>
            <w:tcW w:w="12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总一层</w:t>
            </w:r>
          </w:p>
        </w:tc>
        <w:tc>
          <w:tcPr>
            <w:tcW w:w="14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总二层</w:t>
            </w:r>
          </w:p>
        </w:tc>
        <w:tc>
          <w:tcPr>
            <w:tcW w:w="14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总三层</w:t>
            </w:r>
          </w:p>
        </w:tc>
        <w:tc>
          <w:tcPr>
            <w:tcW w:w="12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总四层</w:t>
            </w:r>
          </w:p>
        </w:tc>
        <w:tc>
          <w:tcPr>
            <w:tcW w:w="14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总五层</w:t>
            </w:r>
          </w:p>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及以上</w:t>
            </w:r>
          </w:p>
        </w:tc>
      </w:tr>
      <w:tr>
        <w:tblPrEx>
          <w:tblCellMar>
            <w:top w:w="0" w:type="dxa"/>
            <w:left w:w="108" w:type="dxa"/>
            <w:bottom w:w="0" w:type="dxa"/>
            <w:right w:w="108" w:type="dxa"/>
          </w:tblCellMar>
        </w:tblPrEx>
        <w:trPr>
          <w:trHeight w:val="1134" w:hRule="exact"/>
          <w:jc w:val="center"/>
        </w:trPr>
        <w:tc>
          <w:tcPr>
            <w:tcW w:w="21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框架</w:t>
            </w:r>
          </w:p>
        </w:tc>
        <w:tc>
          <w:tcPr>
            <w:tcW w:w="126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7280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6160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5600</w:t>
            </w:r>
          </w:p>
        </w:tc>
        <w:tc>
          <w:tcPr>
            <w:tcW w:w="126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5040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4480</w:t>
            </w:r>
          </w:p>
        </w:tc>
      </w:tr>
      <w:tr>
        <w:tblPrEx>
          <w:tblCellMar>
            <w:top w:w="0" w:type="dxa"/>
            <w:left w:w="108" w:type="dxa"/>
            <w:bottom w:w="0" w:type="dxa"/>
            <w:right w:w="108" w:type="dxa"/>
          </w:tblCellMar>
        </w:tblPrEx>
        <w:trPr>
          <w:trHeight w:val="1134" w:hRule="exact"/>
          <w:jc w:val="center"/>
        </w:trPr>
        <w:tc>
          <w:tcPr>
            <w:tcW w:w="216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砖混石混</w:t>
            </w:r>
          </w:p>
        </w:tc>
        <w:tc>
          <w:tcPr>
            <w:tcW w:w="126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7150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6050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5500</w:t>
            </w:r>
          </w:p>
        </w:tc>
        <w:tc>
          <w:tcPr>
            <w:tcW w:w="126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4950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4400</w:t>
            </w:r>
          </w:p>
        </w:tc>
      </w:tr>
      <w:tr>
        <w:tblPrEx>
          <w:tblCellMar>
            <w:top w:w="0" w:type="dxa"/>
            <w:left w:w="108" w:type="dxa"/>
            <w:bottom w:w="0" w:type="dxa"/>
            <w:right w:w="108" w:type="dxa"/>
          </w:tblCellMar>
        </w:tblPrEx>
        <w:trPr>
          <w:trHeight w:val="1134" w:hRule="exact"/>
          <w:jc w:val="center"/>
        </w:trPr>
        <w:tc>
          <w:tcPr>
            <w:tcW w:w="216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砖木石木</w:t>
            </w:r>
          </w:p>
          <w:p>
            <w:pPr>
              <w:keepNext w:val="0"/>
              <w:keepLines w:val="0"/>
              <w:pageBreakBefore w:val="0"/>
              <w:widowControl w:val="0"/>
              <w:topLinePunct w:val="0"/>
              <w:bidi w:val="0"/>
              <w:spacing w:line="520" w:lineRule="exact"/>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石头土木</w:t>
            </w:r>
          </w:p>
        </w:tc>
        <w:tc>
          <w:tcPr>
            <w:tcW w:w="1260" w:type="dxa"/>
            <w:tcBorders>
              <w:top w:val="nil"/>
              <w:left w:val="nil"/>
              <w:bottom w:val="single" w:color="auto" w:sz="4" w:space="0"/>
              <w:right w:val="single" w:color="auto" w:sz="4" w:space="0"/>
            </w:tcBorders>
            <w:noWrap/>
            <w:vAlign w:val="center"/>
          </w:tcPr>
          <w:p>
            <w:pPr>
              <w:keepNext w:val="0"/>
              <w:keepLines w:val="0"/>
              <w:pageBreakBefore w:val="0"/>
              <w:widowControl w:val="0"/>
              <w:tabs>
                <w:tab w:val="left" w:pos="512"/>
              </w:tabs>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6890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5830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5300</w:t>
            </w:r>
          </w:p>
        </w:tc>
        <w:tc>
          <w:tcPr>
            <w:tcW w:w="126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4770</w:t>
            </w:r>
          </w:p>
        </w:tc>
        <w:tc>
          <w:tcPr>
            <w:tcW w:w="1440" w:type="dxa"/>
            <w:tcBorders>
              <w:top w:val="nil"/>
              <w:left w:val="nil"/>
              <w:bottom w:val="single" w:color="auto" w:sz="4" w:space="0"/>
              <w:right w:val="single" w:color="auto" w:sz="4" w:space="0"/>
            </w:tcBorders>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4240</w:t>
            </w:r>
          </w:p>
        </w:tc>
      </w:tr>
      <w:tr>
        <w:tblPrEx>
          <w:tblCellMar>
            <w:top w:w="0" w:type="dxa"/>
            <w:left w:w="108" w:type="dxa"/>
            <w:bottom w:w="0" w:type="dxa"/>
            <w:right w:w="108" w:type="dxa"/>
          </w:tblCellMar>
        </w:tblPrEx>
        <w:trPr>
          <w:trHeight w:val="4451" w:hRule="atLeast"/>
          <w:jc w:val="center"/>
        </w:trPr>
        <w:tc>
          <w:tcPr>
            <w:tcW w:w="9005" w:type="dxa"/>
            <w:gridSpan w:val="6"/>
            <w:tcBorders>
              <w:top w:val="single" w:color="auto" w:sz="4" w:space="0"/>
              <w:left w:val="single" w:color="auto" w:sz="4" w:space="0"/>
              <w:bottom w:val="single" w:color="auto" w:sz="4" w:space="0"/>
              <w:right w:val="single" w:color="000000" w:sz="4" w:space="0"/>
            </w:tcBorders>
            <w:noWrap/>
            <w:vAlign w:val="top"/>
          </w:tcPr>
          <w:p>
            <w:pPr>
              <w:keepNext w:val="0"/>
              <w:keepLines w:val="0"/>
              <w:pageBreakBefore w:val="0"/>
              <w:widowControl w:val="0"/>
              <w:kinsoku/>
              <w:wordWrap/>
              <w:overflowPunct/>
              <w:topLinePunct w:val="0"/>
              <w:autoSpaceDE/>
              <w:autoSpaceDN/>
              <w:bidi w:val="0"/>
              <w:spacing w:line="560" w:lineRule="exact"/>
              <w:rPr>
                <w:rFonts w:hint="eastAsia" w:ascii="Times New Roman" w:hAnsi="Times New Roman" w:eastAsia="方正仿宋简体" w:cs="方正仿宋简体"/>
                <w:color w:val="auto"/>
                <w:sz w:val="32"/>
                <w:szCs w:val="32"/>
              </w:rPr>
            </w:pPr>
          </w:p>
          <w:p>
            <w:pPr>
              <w:keepNext w:val="0"/>
              <w:keepLines w:val="0"/>
              <w:pageBreakBefore w:val="0"/>
              <w:widowControl w:val="0"/>
              <w:kinsoku/>
              <w:wordWrap/>
              <w:overflowPunct/>
              <w:topLinePunct w:val="0"/>
              <w:autoSpaceDE/>
              <w:autoSpaceDN/>
              <w:bidi w:val="0"/>
              <w:spacing w:line="560" w:lineRule="exact"/>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备注：</w:t>
            </w:r>
          </w:p>
          <w:p>
            <w:pPr>
              <w:keepNext w:val="0"/>
              <w:keepLines w:val="0"/>
              <w:pageBreakBefore w:val="0"/>
              <w:widowControl w:val="0"/>
              <w:tabs>
                <w:tab w:val="center" w:pos="4252"/>
                <w:tab w:val="right" w:pos="8504"/>
              </w:tabs>
              <w:kinsoku/>
              <w:wordWrap/>
              <w:overflowPunct/>
              <w:topLinePunct w:val="0"/>
              <w:autoSpaceDE/>
              <w:autoSpaceDN/>
              <w:bidi w:val="0"/>
              <w:adjustRightInd w:val="0"/>
              <w:snapToGrid w:val="0"/>
              <w:spacing w:line="560" w:lineRule="exact"/>
              <w:ind w:firstLine="641"/>
              <w:textAlignment w:val="baseline"/>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1</w:t>
            </w:r>
            <w:r>
              <w:rPr>
                <w:rFonts w:hint="eastAsia" w:ascii="Times New Roman" w:hAnsi="Times New Roman" w:eastAsia="方正仿宋简体" w:cs="方正仿宋简体"/>
                <w:color w:val="auto"/>
                <w:spacing w:val="-6"/>
                <w:sz w:val="32"/>
                <w:szCs w:val="32"/>
              </w:rPr>
              <w:t>．</w:t>
            </w:r>
            <w:r>
              <w:rPr>
                <w:rFonts w:hint="eastAsia" w:ascii="Times New Roman" w:hAnsi="Times New Roman" w:eastAsia="方正仿宋简体" w:cs="方正仿宋简体"/>
                <w:color w:val="auto"/>
                <w:sz w:val="32"/>
                <w:szCs w:val="32"/>
              </w:rPr>
              <w:t>本表所列单价包括土地、建筑物等，不包含装修价值，装修补偿另计。</w:t>
            </w:r>
          </w:p>
          <w:p>
            <w:pPr>
              <w:keepNext w:val="0"/>
              <w:keepLines w:val="0"/>
              <w:pageBreakBefore w:val="0"/>
              <w:widowControl w:val="0"/>
              <w:tabs>
                <w:tab w:val="center" w:pos="4252"/>
                <w:tab w:val="right" w:pos="8504"/>
              </w:tabs>
              <w:kinsoku/>
              <w:wordWrap/>
              <w:overflowPunct/>
              <w:topLinePunct w:val="0"/>
              <w:autoSpaceDE/>
              <w:autoSpaceDN/>
              <w:bidi w:val="0"/>
              <w:adjustRightInd w:val="0"/>
              <w:snapToGrid w:val="0"/>
              <w:spacing w:line="560" w:lineRule="exact"/>
              <w:ind w:firstLine="641"/>
              <w:textAlignment w:val="baseline"/>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2</w:t>
            </w:r>
            <w:r>
              <w:rPr>
                <w:rFonts w:hint="eastAsia" w:ascii="Times New Roman" w:hAnsi="Times New Roman" w:eastAsia="方正仿宋简体" w:cs="方正仿宋简体"/>
                <w:color w:val="auto"/>
                <w:spacing w:val="-6"/>
                <w:sz w:val="32"/>
                <w:szCs w:val="32"/>
              </w:rPr>
              <w:t>．</w:t>
            </w:r>
            <w:r>
              <w:rPr>
                <w:rFonts w:hint="eastAsia" w:ascii="Times New Roman" w:hAnsi="Times New Roman" w:eastAsia="方正仿宋简体" w:cs="方正仿宋简体"/>
                <w:color w:val="auto"/>
                <w:sz w:val="32"/>
                <w:szCs w:val="32"/>
              </w:rPr>
              <w:t>本表所列单价是指有合法审批手续的房屋。用地或基建审批手续不完整的房屋，应先按对应折率确认其可补偿面积后，再计算货币补偿价值。</w:t>
            </w:r>
          </w:p>
        </w:tc>
      </w:tr>
    </w:tbl>
    <w:p>
      <w:pPr>
        <w:keepNext w:val="0"/>
        <w:keepLines w:val="0"/>
        <w:pageBreakBefore w:val="0"/>
        <w:widowControl w:val="0"/>
        <w:topLinePunct w:val="0"/>
        <w:bidi w:val="0"/>
        <w:spacing w:afterLines="100" w:line="600" w:lineRule="exact"/>
        <w:rPr>
          <w:rFonts w:ascii="Times New Roman" w:hAnsi="Times New Roman" w:eastAsia="黑体"/>
          <w:color w:val="auto"/>
          <w:sz w:val="32"/>
          <w:szCs w:val="30"/>
        </w:rPr>
      </w:pPr>
    </w:p>
    <w:p>
      <w:pPr>
        <w:keepNext w:val="0"/>
        <w:keepLines w:val="0"/>
        <w:pageBreakBefore w:val="0"/>
        <w:widowControl w:val="0"/>
        <w:topLinePunct w:val="0"/>
        <w:bidi w:val="0"/>
        <w:spacing w:line="590" w:lineRule="exact"/>
        <w:rPr>
          <w:rFonts w:ascii="Times New Roman" w:hAnsi="Times New Roman" w:eastAsia="黑体" w:cs="黑体"/>
          <w:color w:val="auto"/>
          <w:sz w:val="32"/>
          <w:szCs w:val="32"/>
        </w:rPr>
      </w:pPr>
    </w:p>
    <w:p>
      <w:pPr>
        <w:keepNext w:val="0"/>
        <w:keepLines w:val="0"/>
        <w:pageBreakBefore w:val="0"/>
        <w:widowControl w:val="0"/>
        <w:topLinePunct w:val="0"/>
        <w:bidi w:val="0"/>
        <w:spacing w:line="590" w:lineRule="exact"/>
        <w:rPr>
          <w:rFonts w:hint="eastAsia" w:ascii="Times New Roman" w:hAnsi="Times New Roman" w:eastAsia="黑体" w:cs="黑体"/>
          <w:color w:val="auto"/>
          <w:sz w:val="32"/>
          <w:szCs w:val="32"/>
        </w:rPr>
      </w:pPr>
    </w:p>
    <w:p>
      <w:pPr>
        <w:keepNext w:val="0"/>
        <w:keepLines w:val="0"/>
        <w:pageBreakBefore w:val="0"/>
        <w:widowControl w:val="0"/>
        <w:topLinePunct w:val="0"/>
        <w:bidi w:val="0"/>
        <w:spacing w:line="590" w:lineRule="exact"/>
        <w:rPr>
          <w:rFonts w:ascii="Times New Roman" w:hAnsi="Times New Roman"/>
          <w:color w:val="auto"/>
        </w:rPr>
      </w:pPr>
      <w:r>
        <w:rPr>
          <w:rFonts w:hint="eastAsia" w:ascii="Times New Roman" w:hAnsi="Times New Roman" w:eastAsia="黑体" w:cs="黑体"/>
          <w:color w:val="auto"/>
          <w:sz w:val="32"/>
          <w:szCs w:val="32"/>
        </w:rPr>
        <w:t>附表二</w:t>
      </w:r>
    </w:p>
    <w:p>
      <w:pPr>
        <w:keepNext w:val="0"/>
        <w:keepLines w:val="0"/>
        <w:pageBreakBefore w:val="0"/>
        <w:widowControl w:val="0"/>
        <w:topLinePunct w:val="0"/>
        <w:bidi w:val="0"/>
        <w:spacing w:line="590" w:lineRule="exact"/>
        <w:jc w:val="center"/>
        <w:rPr>
          <w:rFonts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被征收住宅装修分类及补偿单价表</w:t>
      </w:r>
    </w:p>
    <w:p>
      <w:pPr>
        <w:pStyle w:val="2"/>
        <w:keepNext w:val="0"/>
        <w:keepLines w:val="0"/>
        <w:pageBreakBefore w:val="0"/>
        <w:widowControl w:val="0"/>
        <w:topLinePunct w:val="0"/>
        <w:bidi w:val="0"/>
        <w:rPr>
          <w:rFonts w:ascii="Times New Roman" w:hAnsi="Times New Roman"/>
          <w:color w:val="auto"/>
        </w:rPr>
      </w:pPr>
    </w:p>
    <w:p>
      <w:pPr>
        <w:keepNext w:val="0"/>
        <w:keepLines w:val="0"/>
        <w:pageBreakBefore w:val="0"/>
        <w:widowControl w:val="0"/>
        <w:topLinePunct w:val="0"/>
        <w:bidi w:val="0"/>
        <w:spacing w:line="590" w:lineRule="exact"/>
        <w:jc w:val="right"/>
        <w:rPr>
          <w:rFonts w:ascii="Times New Roman" w:hAnsi="Times New Roman"/>
          <w:color w:val="auto"/>
        </w:rPr>
      </w:pPr>
      <w:r>
        <w:rPr>
          <w:rFonts w:hint="eastAsia" w:ascii="Times New Roman" w:hAnsi="Times New Roman" w:eastAsia="方正仿宋简体"/>
          <w:color w:val="auto"/>
          <w:sz w:val="32"/>
          <w:szCs w:val="32"/>
        </w:rPr>
        <w:t>单位：元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w:t>
      </w:r>
    </w:p>
    <w:tbl>
      <w:tblPr>
        <w:tblStyle w:val="4"/>
        <w:tblpPr w:leftFromText="180" w:rightFromText="180" w:vertAnchor="text" w:horzAnchor="margin" w:tblpXSpec="center" w:tblpY="10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900"/>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94" w:type="dxa"/>
            <w:noWrap/>
            <w:vAlign w:val="center"/>
          </w:tcPr>
          <w:p>
            <w:pPr>
              <w:keepNext w:val="0"/>
              <w:keepLines w:val="0"/>
              <w:pageBreakBefore w:val="0"/>
              <w:widowControl w:val="0"/>
              <w:topLinePunct w:val="0"/>
              <w:bidi w:val="0"/>
              <w:spacing w:line="520" w:lineRule="exact"/>
              <w:jc w:val="center"/>
              <w:rPr>
                <w:rFonts w:ascii="Times New Roman" w:hAnsi="Times New Roman" w:eastAsia="方正仿宋简体"/>
                <w:b/>
                <w:bCs/>
                <w:color w:val="auto"/>
                <w:sz w:val="30"/>
                <w:szCs w:val="30"/>
              </w:rPr>
            </w:pPr>
            <w:r>
              <w:rPr>
                <w:rFonts w:hint="eastAsia" w:ascii="Times New Roman" w:hAnsi="Times New Roman" w:eastAsia="方正仿宋简体"/>
                <w:b/>
                <w:bCs/>
                <w:color w:val="auto"/>
                <w:sz w:val="30"/>
                <w:szCs w:val="30"/>
              </w:rPr>
              <w:t>档次</w:t>
            </w:r>
          </w:p>
        </w:tc>
        <w:tc>
          <w:tcPr>
            <w:tcW w:w="900" w:type="dxa"/>
            <w:noWrap/>
            <w:vAlign w:val="center"/>
          </w:tcPr>
          <w:p>
            <w:pPr>
              <w:keepNext w:val="0"/>
              <w:keepLines w:val="0"/>
              <w:pageBreakBefore w:val="0"/>
              <w:widowControl w:val="0"/>
              <w:topLinePunct w:val="0"/>
              <w:bidi w:val="0"/>
              <w:spacing w:line="520" w:lineRule="exact"/>
              <w:jc w:val="center"/>
              <w:rPr>
                <w:rFonts w:ascii="Times New Roman" w:hAnsi="Times New Roman" w:eastAsia="方正仿宋简体"/>
                <w:b/>
                <w:bCs/>
                <w:color w:val="auto"/>
                <w:sz w:val="30"/>
                <w:szCs w:val="30"/>
              </w:rPr>
            </w:pPr>
            <w:r>
              <w:rPr>
                <w:rFonts w:hint="eastAsia" w:ascii="Times New Roman" w:hAnsi="Times New Roman" w:eastAsia="方正仿宋简体"/>
                <w:b/>
                <w:bCs/>
                <w:color w:val="auto"/>
                <w:sz w:val="30"/>
                <w:szCs w:val="30"/>
              </w:rPr>
              <w:t>补偿</w:t>
            </w:r>
          </w:p>
          <w:p>
            <w:pPr>
              <w:keepNext w:val="0"/>
              <w:keepLines w:val="0"/>
              <w:pageBreakBefore w:val="0"/>
              <w:widowControl w:val="0"/>
              <w:topLinePunct w:val="0"/>
              <w:bidi w:val="0"/>
              <w:spacing w:line="520" w:lineRule="exact"/>
              <w:jc w:val="center"/>
              <w:rPr>
                <w:rFonts w:ascii="Times New Roman" w:hAnsi="Times New Roman" w:eastAsia="方正仿宋简体"/>
                <w:b/>
                <w:bCs/>
                <w:color w:val="auto"/>
                <w:sz w:val="30"/>
                <w:szCs w:val="30"/>
              </w:rPr>
            </w:pPr>
            <w:r>
              <w:rPr>
                <w:rFonts w:hint="eastAsia" w:ascii="Times New Roman" w:hAnsi="Times New Roman" w:eastAsia="方正仿宋简体"/>
                <w:b/>
                <w:bCs/>
                <w:color w:val="auto"/>
                <w:sz w:val="30"/>
                <w:szCs w:val="30"/>
              </w:rPr>
              <w:t>金额</w:t>
            </w:r>
          </w:p>
        </w:tc>
        <w:tc>
          <w:tcPr>
            <w:tcW w:w="7410" w:type="dxa"/>
            <w:noWrap/>
            <w:vAlign w:val="center"/>
          </w:tcPr>
          <w:p>
            <w:pPr>
              <w:keepNext w:val="0"/>
              <w:keepLines w:val="0"/>
              <w:pageBreakBefore w:val="0"/>
              <w:widowControl w:val="0"/>
              <w:topLinePunct w:val="0"/>
              <w:bidi w:val="0"/>
              <w:spacing w:line="520" w:lineRule="exact"/>
              <w:jc w:val="center"/>
              <w:rPr>
                <w:rFonts w:ascii="Times New Roman" w:hAnsi="Times New Roman" w:eastAsia="方正仿宋简体"/>
                <w:b/>
                <w:bCs/>
                <w:color w:val="auto"/>
                <w:sz w:val="30"/>
                <w:szCs w:val="30"/>
              </w:rPr>
            </w:pPr>
            <w:r>
              <w:rPr>
                <w:rFonts w:hint="eastAsia" w:ascii="Times New Roman" w:hAnsi="Times New Roman" w:eastAsia="方正仿宋简体"/>
                <w:b/>
                <w:bCs/>
                <w:color w:val="auto"/>
                <w:sz w:val="30"/>
                <w:szCs w:val="30"/>
              </w:rPr>
              <w:t>主要特征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694" w:type="dxa"/>
            <w:noWrap/>
            <w:vAlign w:val="center"/>
          </w:tcPr>
          <w:p>
            <w:pPr>
              <w:keepNext w:val="0"/>
              <w:keepLines w:val="0"/>
              <w:pageBreakBefore w:val="0"/>
              <w:widowControl w:val="0"/>
              <w:topLinePunct w:val="0"/>
              <w:bidi w:val="0"/>
              <w:spacing w:line="480" w:lineRule="exact"/>
              <w:jc w:val="center"/>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一档</w:t>
            </w:r>
          </w:p>
        </w:tc>
        <w:tc>
          <w:tcPr>
            <w:tcW w:w="900" w:type="dxa"/>
            <w:noWrap/>
            <w:vAlign w:val="center"/>
          </w:tcPr>
          <w:p>
            <w:pPr>
              <w:keepNext w:val="0"/>
              <w:keepLines w:val="0"/>
              <w:pageBreakBefore w:val="0"/>
              <w:widowControl w:val="0"/>
              <w:topLinePunct w:val="0"/>
              <w:bidi w:val="0"/>
              <w:spacing w:line="480" w:lineRule="exact"/>
              <w:jc w:val="center"/>
              <w:rPr>
                <w:rFonts w:ascii="Times New Roman" w:hAnsi="Times New Roman"/>
                <w:color w:val="auto"/>
                <w:sz w:val="28"/>
                <w:szCs w:val="28"/>
              </w:rPr>
            </w:pPr>
            <w:r>
              <w:rPr>
                <w:rFonts w:ascii="Times New Roman" w:hAnsi="Times New Roman"/>
                <w:color w:val="auto"/>
                <w:sz w:val="28"/>
                <w:szCs w:val="28"/>
              </w:rPr>
              <w:t>600</w:t>
            </w:r>
          </w:p>
        </w:tc>
        <w:tc>
          <w:tcPr>
            <w:tcW w:w="7410" w:type="dxa"/>
            <w:noWrap/>
            <w:vAlign w:val="center"/>
          </w:tcPr>
          <w:p>
            <w:pPr>
              <w:keepNext w:val="0"/>
              <w:keepLines w:val="0"/>
              <w:pageBreakBefore w:val="0"/>
              <w:widowControl w:val="0"/>
              <w:topLinePunct w:val="0"/>
              <w:bidi w:val="0"/>
              <w:spacing w:line="480" w:lineRule="exact"/>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外墙瓷砖装饰，入户门为甲、乙级防盗门，房间门为高档实木门，地面0.8*0.8或0.6*1.2及以上瓷砖铺设、大理石拼花或实木地板，厅面整体贴砖、房间局部贴墙纸：天棚艺术吊顶（局部有造型）、室内设有部分壁柜；铝合金窗、外加防盗网，窗帘盒，阳台有防盗网；厨房瓷砖地面，瓷砖墙面，铝塑板吊顶；卫生间吊顶，知名品牌洁具；水电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694" w:type="dxa"/>
            <w:noWrap/>
            <w:vAlign w:val="center"/>
          </w:tcPr>
          <w:p>
            <w:pPr>
              <w:keepNext w:val="0"/>
              <w:keepLines w:val="0"/>
              <w:pageBreakBefore w:val="0"/>
              <w:widowControl w:val="0"/>
              <w:topLinePunct w:val="0"/>
              <w:bidi w:val="0"/>
              <w:spacing w:line="480" w:lineRule="exact"/>
              <w:jc w:val="center"/>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二档</w:t>
            </w:r>
          </w:p>
        </w:tc>
        <w:tc>
          <w:tcPr>
            <w:tcW w:w="900" w:type="dxa"/>
            <w:noWrap/>
            <w:vAlign w:val="center"/>
          </w:tcPr>
          <w:p>
            <w:pPr>
              <w:keepNext w:val="0"/>
              <w:keepLines w:val="0"/>
              <w:pageBreakBefore w:val="0"/>
              <w:widowControl w:val="0"/>
              <w:topLinePunct w:val="0"/>
              <w:bidi w:val="0"/>
              <w:spacing w:line="480" w:lineRule="exact"/>
              <w:jc w:val="center"/>
              <w:rPr>
                <w:rFonts w:ascii="Times New Roman" w:hAnsi="Times New Roman"/>
                <w:color w:val="auto"/>
                <w:sz w:val="28"/>
                <w:szCs w:val="28"/>
              </w:rPr>
            </w:pPr>
            <w:r>
              <w:rPr>
                <w:rFonts w:ascii="Times New Roman" w:hAnsi="Times New Roman"/>
                <w:color w:val="auto"/>
                <w:sz w:val="28"/>
                <w:szCs w:val="28"/>
              </w:rPr>
              <w:t>500</w:t>
            </w:r>
          </w:p>
        </w:tc>
        <w:tc>
          <w:tcPr>
            <w:tcW w:w="7410" w:type="dxa"/>
            <w:noWrap/>
            <w:vAlign w:val="center"/>
          </w:tcPr>
          <w:p>
            <w:pPr>
              <w:keepNext w:val="0"/>
              <w:keepLines w:val="0"/>
              <w:pageBreakBefore w:val="0"/>
              <w:widowControl w:val="0"/>
              <w:topLinePunct w:val="0"/>
              <w:bidi w:val="0"/>
              <w:spacing w:line="480" w:lineRule="exact"/>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外墙瓷砖装饰，入户门为乙、丙级防盗门，地面为0.5*0.5及以上瓷砖铺设、强化木地板地面；厅面半墙及以上贴砖或新型内墙材料装修：天棚铝塑板平吊、铝合金窗外加部分防盗网，阳台有防盗网；厨房瓷砖地面，瓷砖墙面，卫生间吊顶，洁具齐全；水电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94" w:type="dxa"/>
            <w:noWrap/>
            <w:vAlign w:val="center"/>
          </w:tcPr>
          <w:p>
            <w:pPr>
              <w:keepNext w:val="0"/>
              <w:keepLines w:val="0"/>
              <w:pageBreakBefore w:val="0"/>
              <w:widowControl w:val="0"/>
              <w:topLinePunct w:val="0"/>
              <w:bidi w:val="0"/>
              <w:spacing w:line="480" w:lineRule="exact"/>
              <w:jc w:val="center"/>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三档</w:t>
            </w:r>
          </w:p>
        </w:tc>
        <w:tc>
          <w:tcPr>
            <w:tcW w:w="900" w:type="dxa"/>
            <w:noWrap/>
            <w:vAlign w:val="center"/>
          </w:tcPr>
          <w:p>
            <w:pPr>
              <w:keepNext w:val="0"/>
              <w:keepLines w:val="0"/>
              <w:pageBreakBefore w:val="0"/>
              <w:widowControl w:val="0"/>
              <w:topLinePunct w:val="0"/>
              <w:bidi w:val="0"/>
              <w:spacing w:line="480" w:lineRule="exact"/>
              <w:jc w:val="center"/>
              <w:rPr>
                <w:rFonts w:ascii="Times New Roman" w:hAnsi="Times New Roman"/>
                <w:color w:val="auto"/>
                <w:sz w:val="28"/>
                <w:szCs w:val="28"/>
              </w:rPr>
            </w:pPr>
            <w:r>
              <w:rPr>
                <w:rFonts w:ascii="Times New Roman" w:hAnsi="Times New Roman"/>
                <w:color w:val="auto"/>
                <w:sz w:val="28"/>
                <w:szCs w:val="28"/>
              </w:rPr>
              <w:t>400</w:t>
            </w:r>
          </w:p>
        </w:tc>
        <w:tc>
          <w:tcPr>
            <w:tcW w:w="7410" w:type="dxa"/>
            <w:noWrap/>
            <w:vAlign w:val="center"/>
          </w:tcPr>
          <w:p>
            <w:pPr>
              <w:keepNext w:val="0"/>
              <w:keepLines w:val="0"/>
              <w:pageBreakBefore w:val="0"/>
              <w:widowControl w:val="0"/>
              <w:topLinePunct w:val="0"/>
              <w:bidi w:val="0"/>
              <w:spacing w:line="480" w:lineRule="exact"/>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入户门为铁门、木门及丙、丁级防盗门，地面为普通花岗岩或普通瓷砖，内墙面或天棚为墙漆粉刷，天棚四周角线或塑料扣板吊顶：木门窗，卫生间洁具齐全，吊顶；水电设施齐全。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94" w:type="dxa"/>
            <w:noWrap/>
            <w:vAlign w:val="center"/>
          </w:tcPr>
          <w:p>
            <w:pPr>
              <w:keepNext w:val="0"/>
              <w:keepLines w:val="0"/>
              <w:pageBreakBefore w:val="0"/>
              <w:widowControl w:val="0"/>
              <w:topLinePunct w:val="0"/>
              <w:bidi w:val="0"/>
              <w:spacing w:line="480" w:lineRule="exact"/>
              <w:jc w:val="center"/>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四档</w:t>
            </w:r>
          </w:p>
        </w:tc>
        <w:tc>
          <w:tcPr>
            <w:tcW w:w="900" w:type="dxa"/>
            <w:noWrap/>
            <w:vAlign w:val="center"/>
          </w:tcPr>
          <w:p>
            <w:pPr>
              <w:keepNext w:val="0"/>
              <w:keepLines w:val="0"/>
              <w:pageBreakBefore w:val="0"/>
              <w:widowControl w:val="0"/>
              <w:topLinePunct w:val="0"/>
              <w:bidi w:val="0"/>
              <w:spacing w:line="480" w:lineRule="exact"/>
              <w:jc w:val="center"/>
              <w:rPr>
                <w:rFonts w:ascii="Times New Roman" w:hAnsi="Times New Roman"/>
                <w:color w:val="auto"/>
                <w:sz w:val="28"/>
                <w:szCs w:val="28"/>
              </w:rPr>
            </w:pPr>
            <w:r>
              <w:rPr>
                <w:rFonts w:ascii="Times New Roman" w:hAnsi="Times New Roman"/>
                <w:color w:val="auto"/>
                <w:sz w:val="28"/>
                <w:szCs w:val="28"/>
              </w:rPr>
              <w:t>300</w:t>
            </w:r>
          </w:p>
        </w:tc>
        <w:tc>
          <w:tcPr>
            <w:tcW w:w="7410" w:type="dxa"/>
            <w:noWrap/>
            <w:vAlign w:val="center"/>
          </w:tcPr>
          <w:p>
            <w:pPr>
              <w:keepNext w:val="0"/>
              <w:keepLines w:val="0"/>
              <w:pageBreakBefore w:val="0"/>
              <w:widowControl w:val="0"/>
              <w:topLinePunct w:val="0"/>
              <w:bidi w:val="0"/>
              <w:spacing w:line="480" w:lineRule="exact"/>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地面为普通瓷砖，墙面部分贴瓷砖，内墙面及天棚普通墙漆粉刷：木门窗，简单铁门，防盗栅，水电设施齐全。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694" w:type="dxa"/>
            <w:noWrap/>
            <w:vAlign w:val="center"/>
          </w:tcPr>
          <w:p>
            <w:pPr>
              <w:keepNext w:val="0"/>
              <w:keepLines w:val="0"/>
              <w:pageBreakBefore w:val="0"/>
              <w:widowControl w:val="0"/>
              <w:topLinePunct w:val="0"/>
              <w:bidi w:val="0"/>
              <w:spacing w:line="480" w:lineRule="exact"/>
              <w:jc w:val="center"/>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五档</w:t>
            </w:r>
          </w:p>
        </w:tc>
        <w:tc>
          <w:tcPr>
            <w:tcW w:w="900" w:type="dxa"/>
            <w:noWrap/>
            <w:vAlign w:val="center"/>
          </w:tcPr>
          <w:p>
            <w:pPr>
              <w:keepNext w:val="0"/>
              <w:keepLines w:val="0"/>
              <w:pageBreakBefore w:val="0"/>
              <w:widowControl w:val="0"/>
              <w:topLinePunct w:val="0"/>
              <w:bidi w:val="0"/>
              <w:spacing w:line="480" w:lineRule="exact"/>
              <w:jc w:val="center"/>
              <w:rPr>
                <w:rFonts w:ascii="Times New Roman" w:hAnsi="Times New Roman"/>
                <w:color w:val="auto"/>
                <w:sz w:val="28"/>
                <w:szCs w:val="28"/>
              </w:rPr>
            </w:pPr>
            <w:r>
              <w:rPr>
                <w:rFonts w:ascii="Times New Roman" w:hAnsi="Times New Roman"/>
                <w:color w:val="auto"/>
                <w:sz w:val="28"/>
                <w:szCs w:val="28"/>
              </w:rPr>
              <w:t>200</w:t>
            </w:r>
          </w:p>
        </w:tc>
        <w:tc>
          <w:tcPr>
            <w:tcW w:w="7410" w:type="dxa"/>
            <w:noWrap/>
            <w:vAlign w:val="center"/>
          </w:tcPr>
          <w:p>
            <w:pPr>
              <w:keepNext w:val="0"/>
              <w:keepLines w:val="0"/>
              <w:pageBreakBefore w:val="0"/>
              <w:widowControl w:val="0"/>
              <w:topLinePunct w:val="0"/>
              <w:bidi w:val="0"/>
              <w:spacing w:line="480" w:lineRule="exact"/>
              <w:rPr>
                <w:rFonts w:ascii="Times New Roman" w:hAnsi="Times New Roman" w:eastAsia="方正仿宋简体"/>
                <w:color w:val="auto"/>
                <w:sz w:val="28"/>
                <w:szCs w:val="28"/>
              </w:rPr>
            </w:pPr>
            <w:r>
              <w:rPr>
                <w:rFonts w:hint="eastAsia" w:ascii="Times New Roman" w:hAnsi="Times New Roman" w:eastAsia="方正仿宋简体"/>
                <w:color w:val="auto"/>
                <w:sz w:val="28"/>
                <w:szCs w:val="28"/>
              </w:rPr>
              <w:t>地面为地板砖或斗底砖，内墙面及天棚简单粉刷或部分粉刷：木门窗，简单铁门，防盗栅，水电设施齐全。</w:t>
            </w:r>
          </w:p>
        </w:tc>
      </w:tr>
    </w:tbl>
    <w:p>
      <w:pPr>
        <w:keepNext w:val="0"/>
        <w:keepLines w:val="0"/>
        <w:pageBreakBefore w:val="0"/>
        <w:widowControl w:val="0"/>
        <w:topLinePunct w:val="0"/>
        <w:bidi w:val="0"/>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br w:type="page"/>
      </w:r>
      <w:r>
        <w:rPr>
          <w:rFonts w:hint="eastAsia" w:ascii="Times New Roman" w:hAnsi="Times New Roman" w:eastAsia="黑体" w:cs="黑体"/>
          <w:color w:val="auto"/>
          <w:sz w:val="32"/>
          <w:szCs w:val="32"/>
        </w:rPr>
        <w:t>附</w:t>
      </w:r>
      <w:r>
        <w:rPr>
          <w:rFonts w:hint="eastAsia" w:ascii="Times New Roman" w:hAnsi="Times New Roman" w:eastAsia="黑体"/>
          <w:color w:val="auto"/>
          <w:sz w:val="32"/>
          <w:szCs w:val="30"/>
        </w:rPr>
        <w:t>表</w:t>
      </w:r>
      <w:r>
        <w:rPr>
          <w:rFonts w:hint="eastAsia" w:ascii="Times New Roman" w:hAnsi="Times New Roman" w:eastAsia="黑体" w:cs="黑体"/>
          <w:color w:val="auto"/>
          <w:sz w:val="32"/>
          <w:szCs w:val="32"/>
        </w:rPr>
        <w:t>三</w:t>
      </w:r>
    </w:p>
    <w:p>
      <w:pPr>
        <w:keepNext w:val="0"/>
        <w:keepLines w:val="0"/>
        <w:pageBreakBefore w:val="0"/>
        <w:widowControl w:val="0"/>
        <w:topLinePunct w:val="0"/>
        <w:bidi w:val="0"/>
        <w:spacing w:line="590" w:lineRule="exact"/>
        <w:jc w:val="center"/>
        <w:rPr>
          <w:rFonts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被征收住宅材料费补贴单价表</w:t>
      </w:r>
    </w:p>
    <w:p>
      <w:pPr>
        <w:pStyle w:val="2"/>
        <w:keepNext w:val="0"/>
        <w:keepLines w:val="0"/>
        <w:pageBreakBefore w:val="0"/>
        <w:widowControl w:val="0"/>
        <w:topLinePunct w:val="0"/>
        <w:bidi w:val="0"/>
        <w:rPr>
          <w:rFonts w:ascii="Times New Roman" w:hAnsi="Times New Roman"/>
          <w:color w:val="auto"/>
        </w:rPr>
      </w:pPr>
    </w:p>
    <w:p>
      <w:pPr>
        <w:keepNext w:val="0"/>
        <w:keepLines w:val="0"/>
        <w:pageBreakBefore w:val="0"/>
        <w:widowControl w:val="0"/>
        <w:topLinePunct w:val="0"/>
        <w:bidi w:val="0"/>
        <w:spacing w:line="590" w:lineRule="exact"/>
        <w:jc w:val="right"/>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单位：元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980"/>
        <w:gridCol w:w="1969"/>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2628" w:type="dxa"/>
            <w:noWrap/>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tabs>
                <w:tab w:val="left" w:pos="640"/>
              </w:tabs>
              <w:topLinePunct w:val="0"/>
              <w:bidi w:val="0"/>
              <w:jc w:val="center"/>
              <w:rPr>
                <w:rFonts w:hint="eastAsia" w:ascii="Times New Roman" w:hAnsi="Times New Roman" w:eastAsia="方正仿宋简体" w:cs="方正仿宋简体"/>
                <w:b/>
                <w:bCs/>
                <w:color w:val="auto"/>
                <w:sz w:val="32"/>
                <w:szCs w:val="32"/>
              </w:rPr>
            </w:pPr>
          </w:p>
          <w:p>
            <w:pPr>
              <w:keepNext w:val="0"/>
              <w:keepLines w:val="0"/>
              <w:pageBreakBefore w:val="0"/>
              <w:widowControl w:val="0"/>
              <w:tabs>
                <w:tab w:val="left" w:pos="640"/>
              </w:tabs>
              <w:topLinePunct w:val="0"/>
              <w:bidi w:val="0"/>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装修补偿</w:t>
            </w:r>
          </w:p>
          <w:p>
            <w:pPr>
              <w:keepNext w:val="0"/>
              <w:keepLines w:val="0"/>
              <w:pageBreakBefore w:val="0"/>
              <w:widowControl w:val="0"/>
              <w:kinsoku w:val="0"/>
              <w:overflowPunct w:val="0"/>
              <w:topLinePunct w:val="0"/>
              <w:autoSpaceDE w:val="0"/>
              <w:autoSpaceDN w:val="0"/>
              <w:bidi w:val="0"/>
              <w:snapToGrid w:val="0"/>
              <w:spacing w:line="240" w:lineRule="auto"/>
              <w:jc w:val="center"/>
              <mc:AlternateContent>
                <mc:Choice Requires="wpsCustomData">
                  <wpsCustomData:diagonalParaType/>
                </mc:Choice>
              </mc:AlternateContent>
              <w:rPr>
                <w:rFonts w:hint="eastAsia" w:ascii="Times New Roman" w:hAnsi="Times New Roman" w:eastAsia="方正仿宋简体" w:cs="方正仿宋简体"/>
                <w:b/>
                <w:bCs/>
                <w:color w:val="auto"/>
                <w:sz w:val="32"/>
                <w:szCs w:val="32"/>
              </w:rPr>
            </w:pPr>
          </w:p>
          <w:p>
            <w:pPr>
              <w:keepNext w:val="0"/>
              <w:keepLines w:val="0"/>
              <w:pageBreakBefore w:val="0"/>
              <w:widowControl w:val="0"/>
              <w:kinsoku w:val="0"/>
              <w:overflowPunct w:val="0"/>
              <w:topLinePunct w:val="0"/>
              <w:autoSpaceDE w:val="0"/>
              <w:autoSpaceDN w:val="0"/>
              <w:bidi w:val="0"/>
              <w:jc w:val="center"/>
              <w:rPr>
                <w:rFonts w:hint="eastAsia" w:ascii="Times New Roman" w:hAnsi="Times New Roman" w:eastAsia="方正仿宋简体" w:cs="方正仿宋简体"/>
                <w:b/>
                <w:bCs/>
                <w:color w:val="auto"/>
                <w:sz w:val="32"/>
                <w:szCs w:val="32"/>
              </w:rPr>
            </w:pPr>
            <w:r>
              <w:rPr>
                <w:rFonts w:hint="eastAsia" w:ascii="Times New Roman" w:hAnsi="Times New Roman" w:eastAsia="方正仿宋简体" w:cs="方正仿宋简体"/>
                <w:b/>
                <w:bCs/>
                <w:color w:val="auto"/>
                <w:sz w:val="32"/>
                <w:szCs w:val="32"/>
              </w:rPr>
              <w:t>建筑结构</w:t>
            </w:r>
          </w:p>
        </w:tc>
        <w:tc>
          <w:tcPr>
            <w:tcW w:w="1980"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
                <w:bCs/>
                <w:color w:val="auto"/>
                <w:kern w:val="21"/>
                <w:sz w:val="32"/>
                <w:szCs w:val="32"/>
              </w:rPr>
            </w:pPr>
            <w:r>
              <w:rPr>
                <w:rFonts w:hint="eastAsia" w:ascii="Times New Roman" w:hAnsi="Times New Roman" w:eastAsia="方正仿宋简体" w:cs="方正仿宋简体"/>
                <w:b/>
                <w:bCs/>
                <w:color w:val="auto"/>
                <w:kern w:val="21"/>
                <w:sz w:val="32"/>
                <w:szCs w:val="32"/>
              </w:rPr>
              <w:t>框架</w:t>
            </w:r>
          </w:p>
        </w:tc>
        <w:tc>
          <w:tcPr>
            <w:tcW w:w="1969"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
                <w:bCs/>
                <w:color w:val="auto"/>
                <w:kern w:val="21"/>
                <w:sz w:val="32"/>
                <w:szCs w:val="32"/>
              </w:rPr>
            </w:pPr>
            <w:r>
              <w:rPr>
                <w:rFonts w:hint="eastAsia" w:ascii="Times New Roman" w:hAnsi="Times New Roman" w:eastAsia="方正仿宋简体" w:cs="方正仿宋简体"/>
                <w:b/>
                <w:bCs/>
                <w:color w:val="auto"/>
                <w:kern w:val="21"/>
                <w:sz w:val="32"/>
                <w:szCs w:val="32"/>
              </w:rPr>
              <w:t>砖混</w:t>
            </w:r>
          </w:p>
        </w:tc>
        <w:tc>
          <w:tcPr>
            <w:tcW w:w="2351"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
                <w:bCs/>
                <w:color w:val="auto"/>
                <w:kern w:val="21"/>
                <w:sz w:val="32"/>
                <w:szCs w:val="32"/>
              </w:rPr>
            </w:pPr>
            <w:r>
              <w:rPr>
                <w:rFonts w:hint="eastAsia" w:ascii="Times New Roman" w:hAnsi="Times New Roman" w:eastAsia="方正仿宋简体" w:cs="方正仿宋简体"/>
                <w:b/>
                <w:bCs/>
                <w:color w:val="auto"/>
                <w:kern w:val="21"/>
                <w:sz w:val="3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2628"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kern w:val="21"/>
                <w:sz w:val="32"/>
                <w:szCs w:val="32"/>
              </w:rPr>
            </w:pPr>
            <w:r>
              <w:rPr>
                <w:rFonts w:hint="eastAsia" w:ascii="Times New Roman" w:hAnsi="Times New Roman" w:eastAsia="方正仿宋简体" w:cs="方正仿宋简体"/>
                <w:color w:val="auto"/>
                <w:kern w:val="21"/>
                <w:sz w:val="32"/>
                <w:szCs w:val="32"/>
              </w:rPr>
              <w:t>较好</w:t>
            </w:r>
          </w:p>
        </w:tc>
        <w:tc>
          <w:tcPr>
            <w:tcW w:w="1980"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 xml:space="preserve">1600 </w:t>
            </w:r>
          </w:p>
        </w:tc>
        <w:tc>
          <w:tcPr>
            <w:tcW w:w="1969"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 xml:space="preserve">1500 </w:t>
            </w:r>
          </w:p>
        </w:tc>
        <w:tc>
          <w:tcPr>
            <w:tcW w:w="2351"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 xml:space="preserve">1400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2628"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kern w:val="21"/>
                <w:sz w:val="32"/>
                <w:szCs w:val="32"/>
              </w:rPr>
            </w:pPr>
            <w:r>
              <w:rPr>
                <w:rFonts w:hint="eastAsia" w:ascii="Times New Roman" w:hAnsi="Times New Roman" w:eastAsia="方正仿宋简体" w:cs="方正仿宋简体"/>
                <w:color w:val="auto"/>
                <w:kern w:val="21"/>
                <w:sz w:val="32"/>
                <w:szCs w:val="32"/>
              </w:rPr>
              <w:t>一般</w:t>
            </w:r>
          </w:p>
        </w:tc>
        <w:tc>
          <w:tcPr>
            <w:tcW w:w="1980"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1500</w:t>
            </w:r>
          </w:p>
        </w:tc>
        <w:tc>
          <w:tcPr>
            <w:tcW w:w="1969"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1400</w:t>
            </w:r>
          </w:p>
        </w:tc>
        <w:tc>
          <w:tcPr>
            <w:tcW w:w="2351"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2628"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color w:val="auto"/>
                <w:kern w:val="21"/>
                <w:sz w:val="32"/>
                <w:szCs w:val="32"/>
              </w:rPr>
            </w:pPr>
            <w:r>
              <w:rPr>
                <w:rFonts w:hint="eastAsia" w:ascii="Times New Roman" w:hAnsi="Times New Roman" w:eastAsia="方正仿宋简体" w:cs="方正仿宋简体"/>
                <w:color w:val="auto"/>
                <w:kern w:val="21"/>
                <w:sz w:val="32"/>
                <w:szCs w:val="32"/>
              </w:rPr>
              <w:t>主体无装修</w:t>
            </w:r>
          </w:p>
        </w:tc>
        <w:tc>
          <w:tcPr>
            <w:tcW w:w="1980"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1400</w:t>
            </w:r>
          </w:p>
        </w:tc>
        <w:tc>
          <w:tcPr>
            <w:tcW w:w="1969"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1300</w:t>
            </w:r>
          </w:p>
        </w:tc>
        <w:tc>
          <w:tcPr>
            <w:tcW w:w="2351" w:type="dxa"/>
            <w:noWrap/>
            <w:vAlign w:val="center"/>
          </w:tcPr>
          <w:p>
            <w:pPr>
              <w:keepNext w:val="0"/>
              <w:keepLines w:val="0"/>
              <w:pageBreakBefore w:val="0"/>
              <w:widowControl w:val="0"/>
              <w:topLinePunct w:val="0"/>
              <w:bidi w:val="0"/>
              <w:jc w:val="center"/>
              <w:rPr>
                <w:rFonts w:hint="eastAsia" w:ascii="Times New Roman" w:hAnsi="Times New Roman" w:eastAsia="方正仿宋简体" w:cs="方正仿宋简体"/>
                <w:bCs/>
                <w:color w:val="auto"/>
                <w:kern w:val="21"/>
                <w:sz w:val="32"/>
                <w:szCs w:val="32"/>
              </w:rPr>
            </w:pPr>
            <w:r>
              <w:rPr>
                <w:rFonts w:hint="eastAsia" w:ascii="Times New Roman" w:hAnsi="Times New Roman" w:eastAsia="方正仿宋简体" w:cs="方正仿宋简体"/>
                <w:bCs/>
                <w:color w:val="auto"/>
                <w:kern w:val="21"/>
                <w:sz w:val="32"/>
                <w:szCs w:val="32"/>
              </w:rPr>
              <w:t>1200</w:t>
            </w:r>
          </w:p>
        </w:tc>
      </w:tr>
    </w:tbl>
    <w:p>
      <w:pPr>
        <w:keepNext w:val="0"/>
        <w:keepLines w:val="0"/>
        <w:pageBreakBefore w:val="0"/>
        <w:widowControl w:val="0"/>
        <w:topLinePunct w:val="0"/>
        <w:bidi w:val="0"/>
        <w:spacing w:afterLines="100" w:line="600" w:lineRule="exact"/>
        <w:rPr>
          <w:rFonts w:ascii="Times New Roman" w:hAnsi="Times New Roman" w:eastAsia="黑体"/>
          <w:color w:val="auto"/>
          <w:sz w:val="32"/>
          <w:szCs w:val="30"/>
        </w:rPr>
      </w:pPr>
    </w:p>
    <w:p>
      <w:pPr>
        <w:keepNext w:val="0"/>
        <w:keepLines w:val="0"/>
        <w:pageBreakBefore w:val="0"/>
        <w:widowControl w:val="0"/>
        <w:topLinePunct w:val="0"/>
        <w:bidi w:val="0"/>
        <w:spacing w:afterLines="100" w:line="600" w:lineRule="exact"/>
        <w:rPr>
          <w:rFonts w:ascii="Times New Roman" w:hAnsi="Times New Roman" w:eastAsia="黑体"/>
          <w:color w:val="auto"/>
          <w:sz w:val="32"/>
          <w:szCs w:val="30"/>
        </w:rPr>
      </w:pPr>
    </w:p>
    <w:p>
      <w:pPr>
        <w:keepNext w:val="0"/>
        <w:keepLines w:val="0"/>
        <w:pageBreakBefore w:val="0"/>
        <w:widowControl w:val="0"/>
        <w:topLinePunct w:val="0"/>
        <w:bidi w:val="0"/>
        <w:spacing w:afterLines="100" w:line="600" w:lineRule="exact"/>
        <w:rPr>
          <w:rFonts w:ascii="Times New Roman" w:hAnsi="Times New Roman" w:eastAsia="黑体"/>
          <w:color w:val="auto"/>
          <w:sz w:val="32"/>
          <w:szCs w:val="30"/>
        </w:rPr>
      </w:pPr>
    </w:p>
    <w:p>
      <w:pPr>
        <w:keepNext w:val="0"/>
        <w:keepLines w:val="0"/>
        <w:pageBreakBefore w:val="0"/>
        <w:widowControl w:val="0"/>
        <w:topLinePunct w:val="0"/>
        <w:bidi w:val="0"/>
        <w:spacing w:afterLines="50" w:line="600" w:lineRule="exact"/>
        <w:rPr>
          <w:rFonts w:ascii="Times New Roman" w:hAnsi="Times New Roman" w:eastAsia="黑体"/>
          <w:color w:val="auto"/>
          <w:sz w:val="32"/>
          <w:szCs w:val="30"/>
        </w:rPr>
      </w:pPr>
    </w:p>
    <w:p>
      <w:pPr>
        <w:keepNext w:val="0"/>
        <w:keepLines w:val="0"/>
        <w:pageBreakBefore w:val="0"/>
        <w:widowControl w:val="0"/>
        <w:topLinePunct w:val="0"/>
        <w:bidi w:val="0"/>
        <w:spacing w:afterLines="50" w:line="600" w:lineRule="exact"/>
        <w:rPr>
          <w:rFonts w:ascii="Times New Roman" w:hAnsi="Times New Roman" w:eastAsia="黑体"/>
          <w:color w:val="auto"/>
          <w:sz w:val="32"/>
          <w:szCs w:val="30"/>
        </w:rPr>
      </w:pPr>
    </w:p>
    <w:p>
      <w:pPr>
        <w:keepNext w:val="0"/>
        <w:keepLines w:val="0"/>
        <w:pageBreakBefore w:val="0"/>
        <w:widowControl w:val="0"/>
        <w:topLinePunct w:val="0"/>
        <w:bidi w:val="0"/>
        <w:spacing w:afterLines="50" w:line="600" w:lineRule="exact"/>
        <w:rPr>
          <w:rFonts w:ascii="Times New Roman" w:hAnsi="Times New Roman" w:eastAsia="黑体"/>
          <w:color w:val="auto"/>
          <w:sz w:val="32"/>
          <w:szCs w:val="30"/>
        </w:rPr>
      </w:pPr>
    </w:p>
    <w:p>
      <w:pPr>
        <w:keepNext w:val="0"/>
        <w:keepLines w:val="0"/>
        <w:pageBreakBefore w:val="0"/>
        <w:widowControl w:val="0"/>
        <w:topLinePunct w:val="0"/>
        <w:bidi w:val="0"/>
        <w:spacing w:afterLines="50" w:line="600" w:lineRule="exact"/>
        <w:rPr>
          <w:rFonts w:ascii="Times New Roman" w:hAnsi="Times New Roman" w:eastAsia="黑体"/>
          <w:color w:val="auto"/>
          <w:sz w:val="32"/>
          <w:szCs w:val="30"/>
        </w:rPr>
      </w:pPr>
    </w:p>
    <w:p>
      <w:pPr>
        <w:keepNext w:val="0"/>
        <w:keepLines w:val="0"/>
        <w:pageBreakBefore w:val="0"/>
        <w:widowControl w:val="0"/>
        <w:topLinePunct w:val="0"/>
        <w:bidi w:val="0"/>
        <w:spacing w:line="590" w:lineRule="exact"/>
        <w:rPr>
          <w:rFonts w:ascii="Times New Roman" w:hAnsi="Times New Roman"/>
          <w:color w:val="auto"/>
        </w:rPr>
      </w:pPr>
      <w:r>
        <w:rPr>
          <w:rFonts w:hint="eastAsia" w:ascii="Times New Roman" w:hAnsi="Times New Roman" w:eastAsia="黑体"/>
          <w:color w:val="auto"/>
          <w:sz w:val="32"/>
          <w:szCs w:val="30"/>
        </w:rPr>
        <w:br w:type="page"/>
      </w:r>
      <w:r>
        <w:rPr>
          <w:rFonts w:hint="eastAsia" w:ascii="Times New Roman" w:hAnsi="Times New Roman" w:eastAsia="黑体"/>
          <w:color w:val="auto"/>
          <w:sz w:val="32"/>
          <w:szCs w:val="30"/>
        </w:rPr>
        <w:t>附表四</w:t>
      </w:r>
    </w:p>
    <w:p>
      <w:pPr>
        <w:keepNext w:val="0"/>
        <w:keepLines w:val="0"/>
        <w:pageBreakBefore w:val="0"/>
        <w:widowControl w:val="0"/>
        <w:topLinePunct w:val="0"/>
        <w:bidi w:val="0"/>
        <w:spacing w:line="590" w:lineRule="exact"/>
        <w:jc w:val="center"/>
        <w:rPr>
          <w:rFonts w:ascii="Times New Roman" w:hAnsi="Times New Roman" w:eastAsia="方正小标宋简体" w:cs="宋体"/>
          <w:bCs/>
          <w:color w:val="auto"/>
          <w:kern w:val="0"/>
          <w:sz w:val="44"/>
          <w:szCs w:val="44"/>
        </w:rPr>
      </w:pPr>
      <w:r>
        <w:rPr>
          <w:rFonts w:hint="eastAsia" w:ascii="Times New Roman" w:hAnsi="Times New Roman" w:eastAsia="方正小标宋简体" w:cs="宋体"/>
          <w:bCs/>
          <w:color w:val="auto"/>
          <w:kern w:val="0"/>
          <w:sz w:val="44"/>
          <w:szCs w:val="44"/>
        </w:rPr>
        <w:t>企业厂房、仓库及其</w:t>
      </w:r>
      <w:r>
        <w:rPr>
          <w:rFonts w:hint="eastAsia" w:ascii="Times New Roman" w:hAnsi="Times New Roman" w:eastAsia="方正小标宋简体" w:cs="宋体"/>
          <w:bCs/>
          <w:color w:val="auto"/>
          <w:kern w:val="0"/>
          <w:sz w:val="44"/>
          <w:szCs w:val="44"/>
          <w:lang w:eastAsia="zh-CN"/>
        </w:rPr>
        <w:t>他</w:t>
      </w:r>
      <w:r>
        <w:rPr>
          <w:rFonts w:hint="eastAsia" w:ascii="Times New Roman" w:hAnsi="Times New Roman" w:eastAsia="方正小标宋简体" w:cs="宋体"/>
          <w:bCs/>
          <w:color w:val="auto"/>
          <w:kern w:val="0"/>
          <w:sz w:val="44"/>
          <w:szCs w:val="44"/>
        </w:rPr>
        <w:t>配套用房补偿单价表</w:t>
      </w:r>
    </w:p>
    <w:p>
      <w:pPr>
        <w:keepNext w:val="0"/>
        <w:keepLines w:val="0"/>
        <w:pageBreakBefore w:val="0"/>
        <w:widowControl w:val="0"/>
        <w:topLinePunct w:val="0"/>
        <w:bidi w:val="0"/>
        <w:spacing w:before="156" w:afterLines="50" w:line="590" w:lineRule="exact"/>
        <w:jc w:val="right"/>
        <w:rPr>
          <w:rFonts w:ascii="Times New Roman" w:hAnsi="Times New Roman" w:eastAsia="方正小标宋简体" w:cs="宋体"/>
          <w:bCs/>
          <w:color w:val="auto"/>
          <w:kern w:val="0"/>
          <w:sz w:val="44"/>
          <w:szCs w:val="44"/>
        </w:rPr>
      </w:pPr>
      <w:r>
        <w:rPr>
          <w:rFonts w:hint="eastAsia" w:ascii="Times New Roman" w:hAnsi="Times New Roman" w:eastAsia="方正仿宋简体"/>
          <w:color w:val="auto"/>
          <w:sz w:val="32"/>
          <w:szCs w:val="32"/>
        </w:rPr>
        <w:t>单位：元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w:t>
      </w:r>
    </w:p>
    <w:p>
      <w:pPr>
        <w:pStyle w:val="2"/>
        <w:rPr>
          <w:rFonts w:ascii="Times New Roman" w:hAnsi="Times New Roman"/>
          <w:color w:val="auto"/>
        </w:rPr>
      </w:pPr>
    </w:p>
    <w:tbl>
      <w:tblPr>
        <w:tblStyle w:val="4"/>
        <w:tblpPr w:leftFromText="180" w:rightFromText="180" w:vertAnchor="text" w:horzAnchor="margin" w:tblpXSpec="center" w:tblpY="-38"/>
        <w:tblOverlap w:val="never"/>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440"/>
        <w:gridCol w:w="1440"/>
        <w:gridCol w:w="144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2448" w:type="dxa"/>
            <w:tcBorders>
              <w:tl2br w:val="single" w:color="auto" w:sz="4" w:space="0"/>
            </w:tcBorders>
            <w:noWrap/>
            <w:vAlign w:val="center"/>
          </w:tcPr>
          <w:p>
            <w:pPr>
              <w:keepNext w:val="0"/>
              <w:keepLines w:val="0"/>
              <w:pageBreakBefore w:val="0"/>
              <w:widowControl w:val="0"/>
              <w:topLinePunct w:val="0"/>
              <w:autoSpaceDE w:val="0"/>
              <w:autoSpaceDN w:val="0"/>
              <w:bidi w:val="0"/>
              <w:adjustRightInd w:val="0"/>
              <w:spacing w:line="380" w:lineRule="exact"/>
              <w:jc w:val="right"/>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建筑结构</w:t>
            </w:r>
          </w:p>
          <w:p>
            <w:pPr>
              <w:keepNext w:val="0"/>
              <w:keepLines w:val="0"/>
              <w:pageBreakBefore w:val="0"/>
              <w:widowControl w:val="0"/>
              <w:topLinePunct w:val="0"/>
              <w:autoSpaceDE w:val="0"/>
              <w:autoSpaceDN w:val="0"/>
              <w:bidi w:val="0"/>
              <w:adjustRightInd w:val="0"/>
              <w:spacing w:line="380" w:lineRule="exact"/>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装修等级</w:t>
            </w:r>
          </w:p>
        </w:tc>
        <w:tc>
          <w:tcPr>
            <w:tcW w:w="1440" w:type="dxa"/>
            <w:noWrap/>
            <w:vAlign w:val="center"/>
          </w:tcPr>
          <w:p>
            <w:pPr>
              <w:keepNext w:val="0"/>
              <w:keepLines w:val="0"/>
              <w:pageBreakBefore w:val="0"/>
              <w:widowControl w:val="0"/>
              <w:topLinePunct w:val="0"/>
              <w:autoSpaceDE w:val="0"/>
              <w:autoSpaceDN w:val="0"/>
              <w:bidi w:val="0"/>
              <w:adjustRightInd w:val="0"/>
              <w:spacing w:line="380" w:lineRule="exact"/>
              <w:jc w:val="center"/>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框架</w:t>
            </w:r>
          </w:p>
        </w:tc>
        <w:tc>
          <w:tcPr>
            <w:tcW w:w="1440" w:type="dxa"/>
            <w:noWrap/>
            <w:vAlign w:val="center"/>
          </w:tcPr>
          <w:p>
            <w:pPr>
              <w:keepNext w:val="0"/>
              <w:keepLines w:val="0"/>
              <w:pageBreakBefore w:val="0"/>
              <w:widowControl w:val="0"/>
              <w:topLinePunct w:val="0"/>
              <w:autoSpaceDE w:val="0"/>
              <w:autoSpaceDN w:val="0"/>
              <w:bidi w:val="0"/>
              <w:adjustRightInd w:val="0"/>
              <w:spacing w:line="380" w:lineRule="exact"/>
              <w:jc w:val="center"/>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砖石混</w:t>
            </w:r>
          </w:p>
        </w:tc>
        <w:tc>
          <w:tcPr>
            <w:tcW w:w="1440" w:type="dxa"/>
            <w:noWrap/>
            <w:vAlign w:val="center"/>
          </w:tcPr>
          <w:p>
            <w:pPr>
              <w:keepNext w:val="0"/>
              <w:keepLines w:val="0"/>
              <w:pageBreakBefore w:val="0"/>
              <w:widowControl w:val="0"/>
              <w:topLinePunct w:val="0"/>
              <w:autoSpaceDE w:val="0"/>
              <w:autoSpaceDN w:val="0"/>
              <w:bidi w:val="0"/>
              <w:adjustRightInd w:val="0"/>
              <w:spacing w:line="380" w:lineRule="exact"/>
              <w:jc w:val="center"/>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砖木</w:t>
            </w:r>
          </w:p>
        </w:tc>
        <w:tc>
          <w:tcPr>
            <w:tcW w:w="1440" w:type="dxa"/>
            <w:noWrap/>
            <w:vAlign w:val="center"/>
          </w:tcPr>
          <w:p>
            <w:pPr>
              <w:keepNext w:val="0"/>
              <w:keepLines w:val="0"/>
              <w:pageBreakBefore w:val="0"/>
              <w:widowControl w:val="0"/>
              <w:topLinePunct w:val="0"/>
              <w:autoSpaceDE w:val="0"/>
              <w:autoSpaceDN w:val="0"/>
              <w:bidi w:val="0"/>
              <w:adjustRightInd w:val="0"/>
              <w:spacing w:line="380" w:lineRule="exact"/>
              <w:jc w:val="center"/>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土木</w:t>
            </w:r>
          </w:p>
        </w:tc>
        <w:tc>
          <w:tcPr>
            <w:tcW w:w="1260" w:type="dxa"/>
            <w:noWrap/>
            <w:vAlign w:val="center"/>
          </w:tcPr>
          <w:p>
            <w:pPr>
              <w:keepNext w:val="0"/>
              <w:keepLines w:val="0"/>
              <w:pageBreakBefore w:val="0"/>
              <w:widowControl w:val="0"/>
              <w:topLinePunct w:val="0"/>
              <w:autoSpaceDE w:val="0"/>
              <w:autoSpaceDN w:val="0"/>
              <w:bidi w:val="0"/>
              <w:adjustRightInd w:val="0"/>
              <w:spacing w:line="380" w:lineRule="exact"/>
              <w:jc w:val="center"/>
              <w:rPr>
                <w:rFonts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448"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eastAsia="方正仿宋简体"/>
                <w:color w:val="auto"/>
                <w:kern w:val="0"/>
                <w:sz w:val="32"/>
                <w:szCs w:val="32"/>
              </w:rPr>
            </w:pPr>
            <w:r>
              <w:rPr>
                <w:rFonts w:hint="eastAsia" w:ascii="Times New Roman" w:hAnsi="Times New Roman" w:eastAsia="方正仿宋简体"/>
                <w:color w:val="auto"/>
                <w:kern w:val="0"/>
                <w:sz w:val="32"/>
                <w:szCs w:val="32"/>
              </w:rPr>
              <w:t>较好</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1</w:t>
            </w:r>
            <w:r>
              <w:rPr>
                <w:rFonts w:hint="eastAsia" w:ascii="Times New Roman" w:hAnsi="Times New Roman"/>
                <w:color w:val="auto"/>
                <w:kern w:val="0"/>
                <w:sz w:val="32"/>
                <w:szCs w:val="32"/>
              </w:rPr>
              <w:t>5</w:t>
            </w:r>
            <w:r>
              <w:rPr>
                <w:rFonts w:ascii="Times New Roman" w:hAnsi="Times New Roman"/>
                <w:color w:val="auto"/>
                <w:kern w:val="0"/>
                <w:sz w:val="32"/>
                <w:szCs w:val="32"/>
              </w:rPr>
              <w:t>00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1</w:t>
            </w:r>
            <w:r>
              <w:rPr>
                <w:rFonts w:hint="eastAsia" w:ascii="Times New Roman" w:hAnsi="Times New Roman"/>
                <w:color w:val="auto"/>
                <w:kern w:val="0"/>
                <w:sz w:val="32"/>
                <w:szCs w:val="32"/>
              </w:rPr>
              <w:t>3</w:t>
            </w:r>
            <w:r>
              <w:rPr>
                <w:rFonts w:ascii="Times New Roman" w:hAnsi="Times New Roman"/>
                <w:color w:val="auto"/>
                <w:kern w:val="0"/>
                <w:sz w:val="32"/>
                <w:szCs w:val="32"/>
              </w:rPr>
              <w:t>80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hint="eastAsia" w:ascii="Times New Roman" w:hAnsi="Times New Roman"/>
                <w:color w:val="auto"/>
                <w:kern w:val="0"/>
                <w:sz w:val="32"/>
                <w:szCs w:val="32"/>
              </w:rPr>
              <w:t>10</w:t>
            </w:r>
            <w:r>
              <w:rPr>
                <w:rFonts w:ascii="Times New Roman" w:hAnsi="Times New Roman"/>
                <w:color w:val="auto"/>
                <w:kern w:val="0"/>
                <w:sz w:val="32"/>
                <w:szCs w:val="32"/>
              </w:rPr>
              <w:t>00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hint="eastAsia" w:ascii="Times New Roman" w:hAnsi="Times New Roman"/>
                <w:color w:val="auto"/>
                <w:kern w:val="0"/>
                <w:sz w:val="32"/>
                <w:szCs w:val="32"/>
              </w:rPr>
              <w:t>9</w:t>
            </w:r>
            <w:r>
              <w:rPr>
                <w:rFonts w:ascii="Times New Roman" w:hAnsi="Times New Roman"/>
                <w:color w:val="auto"/>
                <w:kern w:val="0"/>
                <w:sz w:val="32"/>
                <w:szCs w:val="32"/>
              </w:rPr>
              <w:t>50</w:t>
            </w:r>
          </w:p>
        </w:tc>
        <w:tc>
          <w:tcPr>
            <w:tcW w:w="126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448"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eastAsia="方正仿宋简体"/>
                <w:color w:val="auto"/>
                <w:kern w:val="0"/>
                <w:sz w:val="32"/>
                <w:szCs w:val="32"/>
              </w:rPr>
            </w:pPr>
            <w:r>
              <w:rPr>
                <w:rFonts w:hint="eastAsia" w:ascii="Times New Roman" w:hAnsi="Times New Roman" w:eastAsia="方正仿宋简体"/>
                <w:color w:val="auto"/>
                <w:kern w:val="0"/>
                <w:sz w:val="32"/>
                <w:szCs w:val="32"/>
              </w:rPr>
              <w:t>一般</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1</w:t>
            </w:r>
            <w:r>
              <w:rPr>
                <w:rFonts w:hint="eastAsia" w:ascii="Times New Roman" w:hAnsi="Times New Roman"/>
                <w:color w:val="auto"/>
                <w:kern w:val="0"/>
                <w:sz w:val="32"/>
                <w:szCs w:val="32"/>
              </w:rPr>
              <w:t>3</w:t>
            </w:r>
            <w:r>
              <w:rPr>
                <w:rFonts w:ascii="Times New Roman" w:hAnsi="Times New Roman"/>
                <w:color w:val="auto"/>
                <w:kern w:val="0"/>
                <w:sz w:val="32"/>
                <w:szCs w:val="32"/>
              </w:rPr>
              <w:t>50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1</w:t>
            </w:r>
            <w:r>
              <w:rPr>
                <w:rFonts w:hint="eastAsia" w:ascii="Times New Roman" w:hAnsi="Times New Roman"/>
                <w:color w:val="auto"/>
                <w:kern w:val="0"/>
                <w:sz w:val="32"/>
                <w:szCs w:val="32"/>
              </w:rPr>
              <w:t>2</w:t>
            </w:r>
            <w:r>
              <w:rPr>
                <w:rFonts w:ascii="Times New Roman" w:hAnsi="Times New Roman"/>
                <w:color w:val="auto"/>
                <w:kern w:val="0"/>
                <w:sz w:val="32"/>
                <w:szCs w:val="32"/>
              </w:rPr>
              <w:t>50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hint="eastAsia" w:ascii="Times New Roman" w:hAnsi="Times New Roman"/>
                <w:color w:val="auto"/>
                <w:kern w:val="0"/>
                <w:sz w:val="32"/>
                <w:szCs w:val="32"/>
              </w:rPr>
              <w:t>8</w:t>
            </w:r>
            <w:r>
              <w:rPr>
                <w:rFonts w:ascii="Times New Roman" w:hAnsi="Times New Roman"/>
                <w:color w:val="auto"/>
                <w:kern w:val="0"/>
                <w:sz w:val="32"/>
                <w:szCs w:val="32"/>
              </w:rPr>
              <w:t>50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hint="eastAsia" w:ascii="Times New Roman" w:hAnsi="Times New Roman"/>
                <w:color w:val="auto"/>
                <w:kern w:val="0"/>
                <w:sz w:val="32"/>
                <w:szCs w:val="32"/>
              </w:rPr>
              <w:t>8</w:t>
            </w:r>
            <w:r>
              <w:rPr>
                <w:rFonts w:ascii="Times New Roman" w:hAnsi="Times New Roman"/>
                <w:color w:val="auto"/>
                <w:kern w:val="0"/>
                <w:sz w:val="32"/>
                <w:szCs w:val="32"/>
              </w:rPr>
              <w:t>00</w:t>
            </w:r>
          </w:p>
        </w:tc>
        <w:tc>
          <w:tcPr>
            <w:tcW w:w="126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448"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eastAsia="方正仿宋简体"/>
                <w:color w:val="auto"/>
                <w:kern w:val="0"/>
                <w:sz w:val="32"/>
                <w:szCs w:val="32"/>
              </w:rPr>
            </w:pPr>
            <w:r>
              <w:rPr>
                <w:rFonts w:hint="eastAsia" w:ascii="Times New Roman" w:hAnsi="Times New Roman" w:eastAsia="方正仿宋简体"/>
                <w:color w:val="auto"/>
                <w:kern w:val="0"/>
                <w:sz w:val="32"/>
                <w:szCs w:val="32"/>
              </w:rPr>
              <w:t>主体无装修</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1</w:t>
            </w:r>
            <w:r>
              <w:rPr>
                <w:rFonts w:hint="eastAsia" w:ascii="Times New Roman" w:hAnsi="Times New Roman"/>
                <w:color w:val="auto"/>
                <w:kern w:val="0"/>
                <w:sz w:val="32"/>
                <w:szCs w:val="32"/>
              </w:rPr>
              <w:t>1</w:t>
            </w:r>
            <w:r>
              <w:rPr>
                <w:rFonts w:ascii="Times New Roman" w:hAnsi="Times New Roman"/>
                <w:color w:val="auto"/>
                <w:kern w:val="0"/>
                <w:sz w:val="32"/>
                <w:szCs w:val="32"/>
              </w:rPr>
              <w:t>50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1</w:t>
            </w:r>
            <w:r>
              <w:rPr>
                <w:rFonts w:hint="eastAsia" w:ascii="Times New Roman" w:hAnsi="Times New Roman"/>
                <w:color w:val="auto"/>
                <w:kern w:val="0"/>
                <w:sz w:val="32"/>
                <w:szCs w:val="32"/>
              </w:rPr>
              <w:t>1</w:t>
            </w:r>
            <w:r>
              <w:rPr>
                <w:rFonts w:ascii="Times New Roman" w:hAnsi="Times New Roman"/>
                <w:color w:val="auto"/>
                <w:kern w:val="0"/>
                <w:sz w:val="32"/>
                <w:szCs w:val="32"/>
              </w:rPr>
              <w:t>00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hint="eastAsia" w:ascii="Times New Roman" w:hAnsi="Times New Roman"/>
                <w:color w:val="auto"/>
                <w:kern w:val="0"/>
                <w:sz w:val="32"/>
                <w:szCs w:val="32"/>
              </w:rPr>
              <w:t>7</w:t>
            </w:r>
            <w:r>
              <w:rPr>
                <w:rFonts w:ascii="Times New Roman" w:hAnsi="Times New Roman"/>
                <w:color w:val="auto"/>
                <w:kern w:val="0"/>
                <w:sz w:val="32"/>
                <w:szCs w:val="32"/>
              </w:rPr>
              <w:t>50</w:t>
            </w:r>
          </w:p>
        </w:tc>
        <w:tc>
          <w:tcPr>
            <w:tcW w:w="144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hint="eastAsia" w:ascii="Times New Roman" w:hAnsi="Times New Roman"/>
                <w:color w:val="auto"/>
                <w:kern w:val="0"/>
                <w:sz w:val="32"/>
                <w:szCs w:val="32"/>
              </w:rPr>
              <w:t>7</w:t>
            </w:r>
            <w:r>
              <w:rPr>
                <w:rFonts w:ascii="Times New Roman" w:hAnsi="Times New Roman"/>
                <w:color w:val="auto"/>
                <w:kern w:val="0"/>
                <w:sz w:val="32"/>
                <w:szCs w:val="32"/>
              </w:rPr>
              <w:t>00</w:t>
            </w:r>
          </w:p>
        </w:tc>
        <w:tc>
          <w:tcPr>
            <w:tcW w:w="1260" w:type="dxa"/>
            <w:noWrap/>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Times New Roman" w:hAnsi="Times New Roman"/>
                <w:color w:val="auto"/>
                <w:kern w:val="0"/>
                <w:sz w:val="32"/>
                <w:szCs w:val="32"/>
              </w:rPr>
            </w:pPr>
            <w:r>
              <w:rPr>
                <w:rFonts w:ascii="Times New Roman" w:hAnsi="Times New Roman"/>
                <w:color w:val="auto"/>
                <w:kern w:val="0"/>
                <w:sz w:val="32"/>
                <w:szCs w:val="32"/>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7" w:hRule="atLeast"/>
          <w:jc w:val="center"/>
        </w:trPr>
        <w:tc>
          <w:tcPr>
            <w:tcW w:w="9468" w:type="dxa"/>
            <w:gridSpan w:val="6"/>
            <w:noWrap/>
            <w:vAlign w:val="center"/>
          </w:tcPr>
          <w:p>
            <w:pPr>
              <w:keepNext w:val="0"/>
              <w:keepLines w:val="0"/>
              <w:pageBreakBefore w:val="0"/>
              <w:widowControl w:val="0"/>
              <w:tabs>
                <w:tab w:val="left" w:pos="533"/>
              </w:tabs>
              <w:kinsoku/>
              <w:wordWrap/>
              <w:overflowPunct/>
              <w:topLinePunct w:val="0"/>
              <w:autoSpaceDE/>
              <w:autoSpaceDN/>
              <w:bidi w:val="0"/>
              <w:adjustRightInd/>
              <w:snapToGrid/>
              <w:spacing w:line="560" w:lineRule="exact"/>
              <w:textAlignment w:val="auto"/>
              <w:rPr>
                <w:rFonts w:ascii="Times New Roman" w:hAnsi="Times New Roman" w:eastAsia="方正仿宋简体"/>
                <w:b/>
                <w:bCs/>
                <w:color w:val="auto"/>
                <w:kern w:val="0"/>
                <w:sz w:val="32"/>
                <w:szCs w:val="32"/>
              </w:rPr>
            </w:pPr>
            <w:r>
              <w:rPr>
                <w:rFonts w:hint="eastAsia" w:ascii="Times New Roman" w:hAnsi="Times New Roman" w:eastAsia="方正仿宋简体"/>
                <w:b/>
                <w:bCs/>
                <w:color w:val="auto"/>
                <w:kern w:val="0"/>
                <w:sz w:val="32"/>
                <w:szCs w:val="32"/>
              </w:rPr>
              <w:t>备注：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olor w:val="auto"/>
                <w:kern w:val="0"/>
                <w:sz w:val="32"/>
                <w:szCs w:val="32"/>
              </w:rPr>
            </w:pPr>
            <w:r>
              <w:rPr>
                <w:rFonts w:ascii="Times New Roman" w:hAnsi="Times New Roman" w:eastAsia="方正仿宋简体"/>
                <w:color w:val="auto"/>
                <w:kern w:val="0"/>
                <w:sz w:val="32"/>
                <w:szCs w:val="32"/>
              </w:rPr>
              <w:t>1</w:t>
            </w:r>
            <w:r>
              <w:rPr>
                <w:rFonts w:hint="eastAsia" w:ascii="Times New Roman" w:hAnsi="Times New Roman" w:eastAsia="方正仿宋简体"/>
                <w:color w:val="auto"/>
                <w:spacing w:val="-6"/>
                <w:sz w:val="30"/>
                <w:szCs w:val="30"/>
              </w:rPr>
              <w:t>．</w:t>
            </w:r>
            <w:r>
              <w:rPr>
                <w:rFonts w:hint="eastAsia" w:ascii="Times New Roman" w:hAnsi="Times New Roman" w:eastAsia="方正仿宋简体"/>
                <w:color w:val="auto"/>
                <w:kern w:val="0"/>
                <w:sz w:val="32"/>
                <w:szCs w:val="32"/>
              </w:rPr>
              <w:t>钢结构的认定标准：承重柱应是混凝土柱或钢管柱、工字钢、槽钢立柱，机砖或空心砖围护墙，屋面为彩钢板，跨度</w:t>
            </w:r>
            <w:r>
              <w:rPr>
                <w:rFonts w:ascii="Times New Roman" w:hAnsi="Times New Roman"/>
                <w:color w:val="auto"/>
                <w:sz w:val="32"/>
                <w:szCs w:val="32"/>
              </w:rPr>
              <w:t>8</w:t>
            </w:r>
            <w:r>
              <w:rPr>
                <w:rFonts w:hint="eastAsia" w:ascii="Times New Roman" w:hAnsi="Times New Roman" w:eastAsia="方正仿宋简体"/>
                <w:color w:val="auto"/>
                <w:kern w:val="0"/>
                <w:sz w:val="32"/>
                <w:szCs w:val="32"/>
              </w:rPr>
              <w:t>米以上。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olor w:val="auto"/>
                <w:sz w:val="32"/>
                <w:szCs w:val="32"/>
              </w:rPr>
            </w:pPr>
            <w:r>
              <w:rPr>
                <w:rFonts w:ascii="Times New Roman" w:hAnsi="Times New Roman" w:eastAsia="方正仿宋简体"/>
                <w:color w:val="auto"/>
                <w:sz w:val="32"/>
                <w:szCs w:val="32"/>
              </w:rPr>
              <w:t>2</w:t>
            </w:r>
            <w:r>
              <w:rPr>
                <w:rFonts w:hint="eastAsia" w:ascii="Times New Roman" w:hAnsi="Times New Roman" w:eastAsia="方正仿宋简体"/>
                <w:color w:val="auto"/>
                <w:spacing w:val="-6"/>
                <w:sz w:val="30"/>
                <w:szCs w:val="30"/>
              </w:rPr>
              <w:t>．</w:t>
            </w:r>
            <w:r>
              <w:rPr>
                <w:rFonts w:hint="eastAsia" w:ascii="Times New Roman" w:hAnsi="Times New Roman" w:eastAsia="方正仿宋简体"/>
                <w:color w:val="auto"/>
                <w:sz w:val="32"/>
                <w:szCs w:val="32"/>
              </w:rPr>
              <w:t>以上厂房层高超过</w:t>
            </w:r>
            <w:r>
              <w:rPr>
                <w:rFonts w:ascii="Times New Roman" w:hAnsi="Times New Roman"/>
                <w:color w:val="auto"/>
                <w:sz w:val="32"/>
                <w:szCs w:val="32"/>
              </w:rPr>
              <w:t>4</w:t>
            </w:r>
            <w:r>
              <w:rPr>
                <w:rFonts w:hint="eastAsia" w:ascii="Times New Roman" w:hAnsi="Times New Roman" w:eastAsia="方正仿宋简体"/>
                <w:color w:val="auto"/>
                <w:sz w:val="32"/>
                <w:szCs w:val="32"/>
              </w:rPr>
              <w:t>米的，超过部分计算公式：（实际高度</w:t>
            </w:r>
            <w:r>
              <w:rPr>
                <w:rFonts w:ascii="Times New Roman" w:hAnsi="Times New Roman" w:eastAsia="方正仿宋简体"/>
                <w:color w:val="auto"/>
                <w:sz w:val="32"/>
                <w:szCs w:val="32"/>
              </w:rPr>
              <w:t>-</w:t>
            </w:r>
            <w:r>
              <w:rPr>
                <w:rFonts w:ascii="Times New Roman" w:hAnsi="Times New Roman"/>
                <w:color w:val="auto"/>
                <w:sz w:val="32"/>
                <w:szCs w:val="32"/>
              </w:rPr>
              <w:t>4</w:t>
            </w:r>
            <w:r>
              <w:rPr>
                <w:rFonts w:hint="eastAsia" w:ascii="Times New Roman" w:hAnsi="Times New Roman" w:eastAsia="方正仿宋简体"/>
                <w:color w:val="auto"/>
                <w:sz w:val="32"/>
                <w:szCs w:val="32"/>
              </w:rPr>
              <w:t>米）</w:t>
            </w:r>
            <w:r>
              <w:rPr>
                <w:rFonts w:ascii="Times New Roman" w:hAnsi="Times New Roman" w:eastAsia="方正仿宋简体"/>
                <w:color w:val="auto"/>
                <w:sz w:val="32"/>
                <w:szCs w:val="32"/>
              </w:rPr>
              <w:t>×</w:t>
            </w:r>
            <w:r>
              <w:rPr>
                <w:rFonts w:ascii="Times New Roman" w:hAnsi="Times New Roman"/>
                <w:color w:val="auto"/>
                <w:sz w:val="32"/>
                <w:szCs w:val="32"/>
              </w:rPr>
              <w:t>5%</w:t>
            </w:r>
            <w:r>
              <w:rPr>
                <w:rFonts w:hint="eastAsia" w:ascii="Times New Roman" w:hAnsi="Times New Roman" w:eastAsia="方正仿宋简体"/>
                <w:color w:val="auto"/>
                <w:sz w:val="32"/>
                <w:szCs w:val="32"/>
              </w:rPr>
              <w:t>）</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补偿单价。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olor w:val="auto"/>
                <w:kern w:val="0"/>
                <w:sz w:val="32"/>
                <w:szCs w:val="32"/>
              </w:rPr>
            </w:pPr>
            <w:r>
              <w:rPr>
                <w:rFonts w:ascii="Times New Roman" w:hAnsi="Times New Roman" w:eastAsia="方正仿宋简体"/>
                <w:color w:val="auto"/>
                <w:kern w:val="0"/>
                <w:sz w:val="32"/>
                <w:szCs w:val="32"/>
              </w:rPr>
              <w:t>3</w:t>
            </w:r>
            <w:r>
              <w:rPr>
                <w:rFonts w:hint="eastAsia" w:ascii="Times New Roman" w:hAnsi="Times New Roman" w:eastAsia="方正仿宋简体"/>
                <w:color w:val="auto"/>
                <w:spacing w:val="-6"/>
                <w:sz w:val="30"/>
                <w:szCs w:val="30"/>
              </w:rPr>
              <w:t>．</w:t>
            </w:r>
            <w:r>
              <w:rPr>
                <w:rFonts w:hint="eastAsia" w:ascii="Times New Roman" w:hAnsi="Times New Roman" w:eastAsia="方正仿宋简体"/>
                <w:color w:val="auto"/>
                <w:kern w:val="0"/>
                <w:sz w:val="32"/>
                <w:szCs w:val="32"/>
              </w:rPr>
              <w:t>厂区内若有整幢作为展厅、办公室或宿舍的房屋，其补偿单价按每种类型的结构各增加</w:t>
            </w:r>
            <w:r>
              <w:rPr>
                <w:rFonts w:ascii="Times New Roman" w:hAnsi="Times New Roman"/>
                <w:color w:val="auto"/>
                <w:sz w:val="32"/>
                <w:szCs w:val="32"/>
              </w:rPr>
              <w:t>200</w:t>
            </w:r>
            <w:r>
              <w:rPr>
                <w:rFonts w:hint="eastAsia" w:ascii="Times New Roman" w:hAnsi="Times New Roman" w:eastAsia="方正仿宋简体"/>
                <w:color w:val="auto"/>
                <w:kern w:val="0"/>
                <w:sz w:val="32"/>
                <w:szCs w:val="32"/>
              </w:rPr>
              <w:t>元／</w:t>
            </w:r>
            <w:r>
              <w:rPr>
                <w:rFonts w:hint="eastAsia" w:ascii="Times New Roman" w:hAnsi="Times New Roman" w:eastAsia="仿宋"/>
                <w:color w:val="auto"/>
                <w:kern w:val="0"/>
                <w:sz w:val="32"/>
                <w:szCs w:val="32"/>
              </w:rPr>
              <w:t>㎡</w:t>
            </w:r>
            <w:r>
              <w:rPr>
                <w:rFonts w:hint="eastAsia" w:ascii="Times New Roman" w:hAnsi="Times New Roman" w:eastAsia="方正仿宋简体"/>
                <w:color w:val="auto"/>
                <w:kern w:val="0"/>
                <w:sz w:val="32"/>
                <w:szCs w:val="32"/>
              </w:rPr>
              <w:t>给予补偿。</w:t>
            </w:r>
          </w:p>
        </w:tc>
      </w:tr>
    </w:tbl>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hint="eastAsia"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r>
        <w:rPr>
          <w:rFonts w:hint="eastAsia" w:ascii="Times New Roman" w:hAnsi="Times New Roman" w:eastAsia="黑体"/>
          <w:color w:val="auto"/>
          <w:sz w:val="32"/>
          <w:szCs w:val="30"/>
        </w:rPr>
        <w:t>附表五</w:t>
      </w:r>
    </w:p>
    <w:p>
      <w:pPr>
        <w:keepNext w:val="0"/>
        <w:keepLines w:val="0"/>
        <w:pageBreakBefore w:val="0"/>
        <w:widowControl w:val="0"/>
        <w:topLinePunct w:val="0"/>
        <w:bidi w:val="0"/>
        <w:spacing w:line="520" w:lineRule="exact"/>
        <w:jc w:val="center"/>
        <w:rPr>
          <w:rFonts w:ascii="Times New Roman" w:hAnsi="Times New Roman" w:eastAsia="方正小标宋简体" w:cs="宋体"/>
          <w:bCs/>
          <w:color w:val="auto"/>
          <w:kern w:val="0"/>
          <w:sz w:val="44"/>
          <w:szCs w:val="44"/>
        </w:rPr>
      </w:pPr>
      <w:r>
        <w:rPr>
          <w:rFonts w:hint="eastAsia" w:ascii="Times New Roman" w:hAnsi="Times New Roman" w:eastAsia="方正小标宋简体" w:cs="宋体"/>
          <w:bCs/>
          <w:color w:val="auto"/>
          <w:kern w:val="0"/>
          <w:sz w:val="44"/>
          <w:szCs w:val="44"/>
        </w:rPr>
        <w:t>设备搬迁补助标准</w:t>
      </w:r>
    </w:p>
    <w:p>
      <w:pPr>
        <w:keepNext w:val="0"/>
        <w:keepLines w:val="0"/>
        <w:pageBreakBefore w:val="0"/>
        <w:widowControl w:val="0"/>
        <w:topLinePunct w:val="0"/>
        <w:bidi w:val="0"/>
        <w:spacing w:line="520" w:lineRule="exact"/>
        <w:jc w:val="center"/>
        <w:rPr>
          <w:rFonts w:ascii="Times New Roman" w:hAnsi="Times New Roman" w:eastAsia="方正小标宋_GBK"/>
          <w:b/>
          <w:color w:val="auto"/>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7"/>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267" w:type="dxa"/>
            <w:noWrap/>
            <w:vAlign w:val="center"/>
          </w:tcPr>
          <w:p>
            <w:pPr>
              <w:keepNext w:val="0"/>
              <w:keepLines w:val="0"/>
              <w:pageBreakBefore w:val="0"/>
              <w:widowControl w:val="0"/>
              <w:topLinePunct w:val="0"/>
              <w:bidi w:val="0"/>
              <w:spacing w:line="520" w:lineRule="exact"/>
              <w:jc w:val="center"/>
              <w:rPr>
                <w:rFonts w:ascii="Times New Roman" w:hAnsi="Times New Roman" w:eastAsia="方正仿宋简体"/>
                <w:b/>
                <w:color w:val="auto"/>
                <w:sz w:val="32"/>
                <w:szCs w:val="32"/>
              </w:rPr>
            </w:pPr>
            <w:r>
              <w:rPr>
                <w:rFonts w:hint="eastAsia" w:ascii="Times New Roman" w:hAnsi="Times New Roman" w:eastAsia="方正仿宋简体"/>
                <w:b/>
                <w:color w:val="auto"/>
                <w:sz w:val="32"/>
                <w:szCs w:val="32"/>
              </w:rPr>
              <w:t>设备名称</w:t>
            </w:r>
          </w:p>
        </w:tc>
        <w:tc>
          <w:tcPr>
            <w:tcW w:w="4255" w:type="dxa"/>
            <w:noWrap/>
            <w:vAlign w:val="center"/>
          </w:tcPr>
          <w:p>
            <w:pPr>
              <w:keepNext w:val="0"/>
              <w:keepLines w:val="0"/>
              <w:pageBreakBefore w:val="0"/>
              <w:widowControl w:val="0"/>
              <w:topLinePunct w:val="0"/>
              <w:bidi w:val="0"/>
              <w:spacing w:line="520" w:lineRule="exact"/>
              <w:jc w:val="center"/>
              <w:rPr>
                <w:rFonts w:ascii="Times New Roman" w:hAnsi="Times New Roman" w:eastAsia="方正仿宋简体"/>
                <w:b/>
                <w:color w:val="auto"/>
                <w:sz w:val="32"/>
                <w:szCs w:val="32"/>
              </w:rPr>
            </w:pPr>
            <w:r>
              <w:rPr>
                <w:rFonts w:hint="eastAsia" w:ascii="Times New Roman" w:hAnsi="Times New Roman" w:eastAsia="方正仿宋简体"/>
                <w:b/>
                <w:color w:val="auto"/>
                <w:sz w:val="32"/>
                <w:szCs w:val="32"/>
              </w:rPr>
              <w:t>补助单价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267"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2</w:t>
            </w:r>
            <w:r>
              <w:rPr>
                <w:rFonts w:hint="eastAsia"/>
                <w:color w:val="auto"/>
                <w:sz w:val="32"/>
                <w:szCs w:val="32"/>
                <w:lang w:eastAsia="zh-CN"/>
              </w:rPr>
              <w:t>—</w:t>
            </w:r>
            <w:r>
              <w:rPr>
                <w:rFonts w:ascii="Times New Roman" w:hAnsi="Times New Roman"/>
                <w:color w:val="auto"/>
                <w:sz w:val="32"/>
                <w:szCs w:val="32"/>
              </w:rPr>
              <w:t>5</w:t>
            </w:r>
            <w:r>
              <w:rPr>
                <w:rFonts w:hint="eastAsia" w:ascii="Times New Roman" w:hAnsi="Times New Roman" w:eastAsia="方正仿宋简体"/>
                <w:color w:val="auto"/>
                <w:sz w:val="32"/>
                <w:szCs w:val="32"/>
              </w:rPr>
              <w:t>吨</w:t>
            </w:r>
          </w:p>
        </w:tc>
        <w:tc>
          <w:tcPr>
            <w:tcW w:w="4255"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500-1000</w:t>
            </w:r>
            <w:r>
              <w:rPr>
                <w:rFonts w:hint="eastAsia" w:ascii="Times New Roman" w:hAnsi="Times New Roman" w:eastAsia="方正仿宋简体"/>
                <w:color w:val="auto"/>
                <w:sz w:val="32"/>
                <w:szCs w:val="32"/>
              </w:rPr>
              <w:t>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267"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5</w:t>
            </w:r>
            <w:r>
              <w:rPr>
                <w:rFonts w:hint="eastAsia"/>
                <w:color w:val="auto"/>
                <w:sz w:val="32"/>
                <w:szCs w:val="32"/>
                <w:lang w:eastAsia="zh-CN"/>
              </w:rPr>
              <w:t>—</w:t>
            </w:r>
            <w:r>
              <w:rPr>
                <w:rFonts w:ascii="Times New Roman" w:hAnsi="Times New Roman"/>
                <w:color w:val="auto"/>
                <w:sz w:val="32"/>
                <w:szCs w:val="32"/>
              </w:rPr>
              <w:t>10</w:t>
            </w:r>
            <w:r>
              <w:rPr>
                <w:rFonts w:hint="eastAsia" w:ascii="Times New Roman" w:hAnsi="Times New Roman" w:eastAsia="方正仿宋简体"/>
                <w:color w:val="auto"/>
                <w:sz w:val="32"/>
                <w:szCs w:val="32"/>
              </w:rPr>
              <w:t>吨</w:t>
            </w:r>
          </w:p>
        </w:tc>
        <w:tc>
          <w:tcPr>
            <w:tcW w:w="4255"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1100-2000</w:t>
            </w:r>
            <w:r>
              <w:rPr>
                <w:rFonts w:hint="eastAsia" w:ascii="Times New Roman" w:hAnsi="Times New Roman" w:eastAsia="方正仿宋简体"/>
                <w:color w:val="auto"/>
                <w:sz w:val="32"/>
                <w:szCs w:val="32"/>
              </w:rPr>
              <w:t>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267"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10</w:t>
            </w:r>
            <w:r>
              <w:rPr>
                <w:rFonts w:hint="eastAsia"/>
                <w:color w:val="auto"/>
                <w:sz w:val="32"/>
                <w:szCs w:val="32"/>
                <w:lang w:eastAsia="zh-CN"/>
              </w:rPr>
              <w:t>—</w:t>
            </w:r>
            <w:r>
              <w:rPr>
                <w:rFonts w:ascii="Times New Roman" w:hAnsi="Times New Roman"/>
                <w:color w:val="auto"/>
                <w:sz w:val="32"/>
                <w:szCs w:val="32"/>
              </w:rPr>
              <w:t>15</w:t>
            </w:r>
            <w:r>
              <w:rPr>
                <w:rFonts w:hint="eastAsia" w:ascii="Times New Roman" w:hAnsi="Times New Roman" w:eastAsia="方正仿宋简体"/>
                <w:color w:val="auto"/>
                <w:sz w:val="32"/>
                <w:szCs w:val="32"/>
              </w:rPr>
              <w:t>吨</w:t>
            </w:r>
          </w:p>
        </w:tc>
        <w:tc>
          <w:tcPr>
            <w:tcW w:w="4255"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2100-3000</w:t>
            </w:r>
            <w:r>
              <w:rPr>
                <w:rFonts w:hint="eastAsia" w:ascii="Times New Roman" w:hAnsi="Times New Roman" w:eastAsia="方正仿宋简体"/>
                <w:color w:val="auto"/>
                <w:sz w:val="32"/>
                <w:szCs w:val="32"/>
              </w:rPr>
              <w:t>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267"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15</w:t>
            </w:r>
            <w:r>
              <w:rPr>
                <w:rFonts w:hint="eastAsia" w:ascii="Times New Roman" w:hAnsi="Times New Roman" w:eastAsia="方正仿宋简体"/>
                <w:color w:val="auto"/>
                <w:sz w:val="32"/>
                <w:szCs w:val="32"/>
              </w:rPr>
              <w:t>吨以上</w:t>
            </w:r>
          </w:p>
        </w:tc>
        <w:tc>
          <w:tcPr>
            <w:tcW w:w="4255"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4000</w:t>
            </w:r>
            <w:r>
              <w:rPr>
                <w:rFonts w:hint="eastAsia" w:ascii="Times New Roman" w:hAnsi="Times New Roman" w:eastAsia="方正仿宋简体"/>
                <w:color w:val="auto"/>
                <w:sz w:val="32"/>
                <w:szCs w:val="32"/>
              </w:rPr>
              <w:t>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267"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行吊</w:t>
            </w:r>
          </w:p>
        </w:tc>
        <w:tc>
          <w:tcPr>
            <w:tcW w:w="4255" w:type="dxa"/>
            <w:noWrap/>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仿宋简体"/>
                <w:color w:val="auto"/>
                <w:sz w:val="32"/>
                <w:szCs w:val="32"/>
              </w:rPr>
            </w:pPr>
            <w:r>
              <w:rPr>
                <w:rFonts w:ascii="Times New Roman" w:hAnsi="Times New Roman"/>
                <w:color w:val="auto"/>
                <w:sz w:val="32"/>
                <w:szCs w:val="32"/>
              </w:rPr>
              <w:t>6000</w:t>
            </w:r>
            <w:r>
              <w:rPr>
                <w:rFonts w:hint="eastAsia" w:ascii="Times New Roman" w:hAnsi="Times New Roman" w:eastAsia="方正仿宋简体"/>
                <w:color w:val="auto"/>
                <w:sz w:val="32"/>
                <w:szCs w:val="32"/>
              </w:rPr>
              <w:t>元</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台</w:t>
            </w:r>
          </w:p>
        </w:tc>
      </w:tr>
    </w:tbl>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eastAsia="黑体"/>
          <w:color w:val="auto"/>
          <w:sz w:val="32"/>
          <w:szCs w:val="30"/>
        </w:rPr>
      </w:pPr>
    </w:p>
    <w:p>
      <w:pPr>
        <w:keepNext w:val="0"/>
        <w:keepLines w:val="0"/>
        <w:pageBreakBefore w:val="0"/>
        <w:widowControl w:val="0"/>
        <w:topLinePunct w:val="0"/>
        <w:bidi w:val="0"/>
        <w:spacing w:line="540" w:lineRule="exact"/>
        <w:rPr>
          <w:rFonts w:ascii="Times New Roman" w:hAnsi="Times New Roman"/>
          <w:color w:val="auto"/>
        </w:rPr>
      </w:pPr>
      <w:r>
        <w:rPr>
          <w:rFonts w:hint="eastAsia" w:ascii="Times New Roman" w:hAnsi="Times New Roman" w:eastAsia="黑体"/>
          <w:color w:val="auto"/>
          <w:sz w:val="32"/>
          <w:szCs w:val="30"/>
        </w:rPr>
        <w:t>附表六</w:t>
      </w:r>
    </w:p>
    <w:p>
      <w:pPr>
        <w:keepNext w:val="0"/>
        <w:keepLines w:val="0"/>
        <w:pageBreakBefore w:val="0"/>
        <w:widowControl w:val="0"/>
        <w:topLinePunct w:val="0"/>
        <w:bidi w:val="0"/>
        <w:spacing w:line="590" w:lineRule="exact"/>
        <w:ind w:firstLine="880" w:firstLineChars="200"/>
        <w:rPr>
          <w:rFonts w:ascii="Times New Roman" w:hAnsi="Times New Roman" w:eastAsia="方正小标宋简体" w:cs="宋体"/>
          <w:bCs/>
          <w:color w:val="auto"/>
          <w:kern w:val="0"/>
          <w:sz w:val="44"/>
          <w:szCs w:val="44"/>
        </w:rPr>
      </w:pPr>
      <w:r>
        <w:rPr>
          <w:rFonts w:hint="eastAsia" w:ascii="Times New Roman" w:hAnsi="Times New Roman" w:eastAsia="方正小标宋简体" w:cs="宋体"/>
          <w:bCs/>
          <w:color w:val="auto"/>
          <w:kern w:val="0"/>
          <w:sz w:val="44"/>
          <w:szCs w:val="44"/>
        </w:rPr>
        <w:t>被征收房屋附属物项目补偿单价表</w:t>
      </w:r>
    </w:p>
    <w:p>
      <w:pPr>
        <w:keepNext w:val="0"/>
        <w:keepLines w:val="0"/>
        <w:pageBreakBefore w:val="0"/>
        <w:widowControl w:val="0"/>
        <w:topLinePunct w:val="0"/>
        <w:bidi w:val="0"/>
        <w:spacing w:line="590" w:lineRule="exact"/>
        <w:jc w:val="right"/>
        <w:rPr>
          <w:rFonts w:ascii="Times New Roman" w:hAnsi="Times New Roman"/>
          <w:color w:val="auto"/>
        </w:rPr>
      </w:pPr>
      <w:r>
        <w:rPr>
          <w:rFonts w:hint="eastAsia" w:ascii="Times New Roman" w:hAnsi="Times New Roman" w:eastAsia="方正仿宋简体"/>
          <w:color w:val="auto"/>
          <w:sz w:val="32"/>
          <w:szCs w:val="32"/>
        </w:rPr>
        <w:t>单位：元</w:t>
      </w:r>
    </w:p>
    <w:tbl>
      <w:tblPr>
        <w:tblStyle w:val="4"/>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108" w:type="dxa"/>
          <w:bottom w:w="11" w:type="dxa"/>
          <w:right w:w="108" w:type="dxa"/>
        </w:tblCellMar>
      </w:tblPr>
      <w:tblGrid>
        <w:gridCol w:w="893"/>
        <w:gridCol w:w="1999"/>
        <w:gridCol w:w="992"/>
        <w:gridCol w:w="1306"/>
        <w:gridCol w:w="3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tblHeader/>
          <w:jc w:val="center"/>
        </w:trPr>
        <w:tc>
          <w:tcPr>
            <w:tcW w:w="893"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b/>
                <w:bCs/>
                <w:color w:val="auto"/>
                <w:sz w:val="24"/>
              </w:rPr>
            </w:pPr>
            <w:r>
              <w:rPr>
                <w:rFonts w:hint="eastAsia" w:ascii="Times New Roman" w:hAnsi="Times New Roman" w:eastAsia="方正仿宋简体"/>
                <w:b/>
                <w:bCs/>
                <w:color w:val="auto"/>
                <w:sz w:val="24"/>
              </w:rPr>
              <w:t>项目</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b/>
                <w:bCs/>
                <w:color w:val="auto"/>
                <w:sz w:val="24"/>
              </w:rPr>
            </w:pPr>
            <w:r>
              <w:rPr>
                <w:rFonts w:hint="eastAsia" w:ascii="Times New Roman" w:hAnsi="Times New Roman" w:eastAsia="方正仿宋简体"/>
                <w:b/>
                <w:bCs/>
                <w:color w:val="auto"/>
                <w:sz w:val="24"/>
              </w:rPr>
              <w:t>种类</w:t>
            </w:r>
          </w:p>
        </w:tc>
        <w:tc>
          <w:tcPr>
            <w:tcW w:w="992" w:type="dxa"/>
            <w:noWrap/>
            <w:vAlign w:val="center"/>
          </w:tcPr>
          <w:p>
            <w:pPr>
              <w:keepNext w:val="0"/>
              <w:keepLines w:val="0"/>
              <w:pageBreakBefore w:val="0"/>
              <w:widowControl w:val="0"/>
              <w:topLinePunct w:val="0"/>
              <w:bidi w:val="0"/>
              <w:spacing w:line="260" w:lineRule="exact"/>
              <w:ind w:left="-20" w:leftChars="-61" w:right="-115" w:rightChars="-55" w:hanging="108" w:hangingChars="56"/>
              <w:jc w:val="center"/>
              <w:rPr>
                <w:rFonts w:ascii="Times New Roman" w:hAnsi="Times New Roman" w:eastAsia="方正仿宋简体"/>
                <w:b/>
                <w:bCs/>
                <w:color w:val="auto"/>
                <w:spacing w:val="-24"/>
                <w:sz w:val="24"/>
              </w:rPr>
            </w:pPr>
            <w:r>
              <w:rPr>
                <w:rFonts w:hint="eastAsia" w:ascii="Times New Roman" w:hAnsi="Times New Roman" w:eastAsia="方正仿宋简体"/>
                <w:b/>
                <w:bCs/>
                <w:color w:val="auto"/>
                <w:spacing w:val="-24"/>
                <w:sz w:val="24"/>
              </w:rPr>
              <w:t>计算单位</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b/>
                <w:bCs/>
                <w:color w:val="auto"/>
                <w:sz w:val="24"/>
              </w:rPr>
            </w:pPr>
            <w:r>
              <w:rPr>
                <w:rFonts w:hint="eastAsia" w:ascii="Times New Roman" w:hAnsi="Times New Roman" w:eastAsia="方正仿宋简体"/>
                <w:b/>
                <w:bCs/>
                <w:color w:val="auto"/>
                <w:sz w:val="24"/>
              </w:rPr>
              <w:t>单价</w:t>
            </w:r>
          </w:p>
        </w:tc>
        <w:tc>
          <w:tcPr>
            <w:tcW w:w="3795"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b/>
                <w:bCs/>
                <w:color w:val="auto"/>
                <w:sz w:val="24"/>
              </w:rPr>
            </w:pPr>
            <w:r>
              <w:rPr>
                <w:rFonts w:hint="eastAsia" w:ascii="Times New Roman" w:hAnsi="Times New Roman" w:eastAsia="方正仿宋简体"/>
                <w:b/>
                <w:bCs/>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水井</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手泵井</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口</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600</w:t>
            </w:r>
          </w:p>
        </w:tc>
        <w:tc>
          <w:tcPr>
            <w:tcW w:w="3795"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ind w:left="1" w:leftChars="-21" w:hanging="45" w:hangingChars="19"/>
              <w:jc w:val="center"/>
              <w:rPr>
                <w:rFonts w:ascii="Times New Roman" w:hAnsi="Times New Roman" w:eastAsia="方正仿宋简体"/>
                <w:color w:val="auto"/>
                <w:sz w:val="24"/>
              </w:rPr>
            </w:pPr>
            <w:r>
              <w:rPr>
                <w:rFonts w:hint="eastAsia" w:ascii="Times New Roman" w:hAnsi="Times New Roman" w:eastAsia="方正仿宋简体"/>
                <w:color w:val="auto"/>
                <w:sz w:val="24"/>
              </w:rPr>
              <w:t>一般水井（条石）</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立方米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hint="eastAsia" w:ascii="Times New Roman" w:hAnsi="Times New Roman"/>
                <w:color w:val="auto"/>
                <w:sz w:val="24"/>
              </w:rPr>
              <w:t>3</w:t>
            </w:r>
            <w:r>
              <w:rPr>
                <w:rFonts w:ascii="Times New Roman" w:hAnsi="Times New Roman"/>
                <w:color w:val="auto"/>
                <w:sz w:val="24"/>
              </w:rPr>
              <w:t>00</w:t>
            </w:r>
          </w:p>
        </w:tc>
        <w:tc>
          <w:tcPr>
            <w:tcW w:w="3795"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一般水井（水泥）</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立方米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hint="eastAsia" w:ascii="Times New Roman" w:hAnsi="Times New Roman"/>
                <w:color w:val="auto"/>
                <w:sz w:val="24"/>
              </w:rPr>
              <w:t>200</w:t>
            </w:r>
          </w:p>
        </w:tc>
        <w:tc>
          <w:tcPr>
            <w:tcW w:w="3795"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abs>
                <w:tab w:val="left" w:pos="1340"/>
              </w:tabs>
              <w:topLinePunct w:val="0"/>
              <w:bidi w:val="0"/>
              <w:spacing w:line="260" w:lineRule="exact"/>
              <w:ind w:right="-151" w:rightChars="-72"/>
              <w:jc w:val="center"/>
              <w:rPr>
                <w:rFonts w:ascii="Times New Roman" w:hAnsi="Times New Roman" w:eastAsia="方正仿宋简体"/>
                <w:color w:val="auto"/>
                <w:sz w:val="24"/>
              </w:rPr>
            </w:pPr>
            <w:r>
              <w:rPr>
                <w:rFonts w:hint="eastAsia" w:ascii="Times New Roman" w:hAnsi="Times New Roman" w:eastAsia="方正仿宋简体"/>
                <w:color w:val="auto"/>
                <w:sz w:val="24"/>
              </w:rPr>
              <w:t>机井</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口</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2500</w:t>
            </w:r>
          </w:p>
        </w:tc>
        <w:tc>
          <w:tcPr>
            <w:tcW w:w="3795"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深机井</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口</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4000</w:t>
            </w:r>
          </w:p>
        </w:tc>
        <w:tc>
          <w:tcPr>
            <w:tcW w:w="3795"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住宅或厂房围墙大门</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电动门</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600</w:t>
            </w:r>
          </w:p>
        </w:tc>
        <w:tc>
          <w:tcPr>
            <w:tcW w:w="3795" w:type="dxa"/>
            <w:vMerge w:val="restart"/>
            <w:noWrap/>
            <w:vAlign w:val="center"/>
          </w:tcPr>
          <w:p>
            <w:pPr>
              <w:keepNext w:val="0"/>
              <w:keepLines w:val="0"/>
              <w:pageBreakBefore w:val="0"/>
              <w:widowControl w:val="0"/>
              <w:topLinePunct w:val="0"/>
              <w:bidi w:val="0"/>
              <w:spacing w:line="260" w:lineRule="exact"/>
              <w:jc w:val="left"/>
              <w:rPr>
                <w:rFonts w:ascii="Times New Roman" w:hAnsi="Times New Roman" w:eastAsia="方正仿宋简体"/>
                <w:color w:val="auto"/>
                <w:sz w:val="24"/>
              </w:rPr>
            </w:pPr>
            <w:r>
              <w:rPr>
                <w:rFonts w:hint="eastAsia" w:ascii="Times New Roman" w:hAnsi="Times New Roman" w:eastAsia="方正仿宋简体"/>
                <w:color w:val="auto"/>
                <w:sz w:val="24"/>
              </w:rPr>
              <w:t>室外围墙全封闭，其中电机每台补偿</w:t>
            </w:r>
            <w:r>
              <w:rPr>
                <w:rFonts w:ascii="Times New Roman" w:hAnsi="Times New Roman" w:eastAsia="方正仿宋简体"/>
                <w:color w:val="auto"/>
                <w:sz w:val="24"/>
              </w:rPr>
              <w:t>1200</w:t>
            </w:r>
            <w:r>
              <w:rPr>
                <w:rFonts w:hint="eastAsia" w:ascii="Times New Roman" w:hAnsi="Times New Roman" w:eastAsia="方正仿宋简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不锈钢门</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600</w:t>
            </w:r>
          </w:p>
        </w:tc>
        <w:tc>
          <w:tcPr>
            <w:tcW w:w="3795" w:type="dxa"/>
            <w:vMerge w:val="continue"/>
            <w:noWrap/>
            <w:vAlign w:val="center"/>
          </w:tcPr>
          <w:p>
            <w:pPr>
              <w:keepNext w:val="0"/>
              <w:keepLines w:val="0"/>
              <w:pageBreakBefore w:val="0"/>
              <w:widowControl w:val="0"/>
              <w:topLinePunct w:val="0"/>
              <w:bidi w:val="0"/>
              <w:spacing w:line="260" w:lineRule="exact"/>
              <w:jc w:val="lef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镀锌板门</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260</w:t>
            </w:r>
          </w:p>
        </w:tc>
        <w:tc>
          <w:tcPr>
            <w:tcW w:w="3795" w:type="dxa"/>
            <w:vMerge w:val="continue"/>
            <w:noWrap/>
            <w:vAlign w:val="center"/>
          </w:tcPr>
          <w:p>
            <w:pPr>
              <w:keepNext w:val="0"/>
              <w:keepLines w:val="0"/>
              <w:pageBreakBefore w:val="0"/>
              <w:widowControl w:val="0"/>
              <w:topLinePunct w:val="0"/>
              <w:bidi w:val="0"/>
              <w:spacing w:line="260" w:lineRule="exact"/>
              <w:jc w:val="lef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1258" w:hRule="exact"/>
          <w:jc w:val="center"/>
        </w:trPr>
        <w:tc>
          <w:tcPr>
            <w:tcW w:w="893"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围墙</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各种材质</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250</w:t>
            </w:r>
          </w:p>
        </w:tc>
        <w:tc>
          <w:tcPr>
            <w:tcW w:w="3795" w:type="dxa"/>
            <w:noWrap/>
            <w:vAlign w:val="center"/>
          </w:tcPr>
          <w:p>
            <w:pPr>
              <w:keepNext w:val="0"/>
              <w:keepLines w:val="0"/>
              <w:pageBreakBefore w:val="0"/>
              <w:widowControl w:val="0"/>
              <w:topLinePunct w:val="0"/>
              <w:bidi w:val="0"/>
              <w:spacing w:line="260" w:lineRule="exact"/>
              <w:jc w:val="left"/>
              <w:rPr>
                <w:rFonts w:ascii="Times New Roman" w:hAnsi="Times New Roman" w:eastAsia="方正仿宋简体"/>
                <w:color w:val="auto"/>
                <w:sz w:val="24"/>
              </w:rPr>
            </w:pPr>
            <w:r>
              <w:rPr>
                <w:rFonts w:hint="eastAsia" w:ascii="Times New Roman" w:hAnsi="Times New Roman" w:eastAsia="方正仿宋简体"/>
                <w:color w:val="auto"/>
                <w:sz w:val="24"/>
              </w:rPr>
              <w:t>高度</w:t>
            </w:r>
            <w:r>
              <w:rPr>
                <w:rFonts w:ascii="Times New Roman" w:hAnsi="Times New Roman" w:eastAsia="方正仿宋简体"/>
                <w:color w:val="auto"/>
                <w:sz w:val="24"/>
              </w:rPr>
              <w:t>2</w:t>
            </w:r>
            <w:r>
              <w:rPr>
                <w:rFonts w:hint="eastAsia" w:ascii="Times New Roman" w:hAnsi="Times New Roman" w:eastAsia="方正仿宋简体"/>
                <w:color w:val="auto"/>
                <w:sz w:val="24"/>
              </w:rPr>
              <w:t>米</w:t>
            </w:r>
            <w:r>
              <w:rPr>
                <w:rFonts w:hint="eastAsia" w:ascii="Times New Roman" w:hAnsi="Times New Roman" w:eastAsia="方正仿宋简体"/>
                <w:color w:val="auto"/>
                <w:sz w:val="24"/>
                <w:lang w:val="en-US" w:eastAsia="zh-CN"/>
              </w:rPr>
              <w:t>的</w:t>
            </w:r>
            <w:r>
              <w:rPr>
                <w:rFonts w:hint="eastAsia" w:ascii="Times New Roman" w:hAnsi="Times New Roman" w:eastAsia="方正仿宋简体"/>
                <w:color w:val="auto"/>
                <w:sz w:val="24"/>
              </w:rPr>
              <w:t>，单面贴砖每米增加</w:t>
            </w:r>
            <w:r>
              <w:rPr>
                <w:rFonts w:ascii="Times New Roman" w:hAnsi="Times New Roman" w:eastAsia="方正仿宋简体"/>
                <w:color w:val="auto"/>
                <w:sz w:val="24"/>
              </w:rPr>
              <w:t>100</w:t>
            </w:r>
            <w:r>
              <w:rPr>
                <w:rFonts w:hint="eastAsia" w:ascii="Times New Roman" w:hAnsi="Times New Roman" w:eastAsia="方正仿宋简体"/>
                <w:color w:val="auto"/>
                <w:sz w:val="24"/>
              </w:rPr>
              <w:t>元</w:t>
            </w:r>
            <w:r>
              <w:rPr>
                <w:rFonts w:hint="eastAsia" w:ascii="Times New Roman" w:hAnsi="Times New Roman" w:eastAsia="方正仿宋简体"/>
                <w:color w:val="auto"/>
                <w:sz w:val="24"/>
                <w:lang w:eastAsia="zh-CN"/>
              </w:rPr>
              <w:t>，</w:t>
            </w:r>
            <w:r>
              <w:rPr>
                <w:rFonts w:hint="eastAsia" w:ascii="Times New Roman" w:hAnsi="Times New Roman" w:eastAsia="方正仿宋简体"/>
                <w:color w:val="auto"/>
                <w:sz w:val="24"/>
              </w:rPr>
              <w:t>双面贴砖每米增加</w:t>
            </w:r>
            <w:r>
              <w:rPr>
                <w:rFonts w:ascii="Times New Roman" w:hAnsi="Times New Roman" w:eastAsia="方正仿宋简体"/>
                <w:color w:val="auto"/>
                <w:sz w:val="24"/>
              </w:rPr>
              <w:t>200</w:t>
            </w:r>
            <w:r>
              <w:rPr>
                <w:rFonts w:hint="eastAsia" w:ascii="Times New Roman" w:hAnsi="Times New Roman" w:eastAsia="方正仿宋简体"/>
                <w:color w:val="auto"/>
                <w:sz w:val="24"/>
              </w:rPr>
              <w:t>元</w:t>
            </w:r>
            <w:r>
              <w:rPr>
                <w:rFonts w:hint="eastAsia" w:ascii="Times New Roman" w:hAnsi="Times New Roman" w:eastAsia="方正仿宋简体"/>
                <w:color w:val="auto"/>
                <w:sz w:val="24"/>
                <w:lang w:eastAsia="zh-CN"/>
              </w:rPr>
              <w:t>；</w:t>
            </w:r>
            <w:r>
              <w:rPr>
                <w:rFonts w:hint="eastAsia" w:ascii="Times New Roman" w:hAnsi="Times New Roman" w:eastAsia="方正仿宋简体"/>
                <w:color w:val="auto"/>
                <w:sz w:val="24"/>
              </w:rPr>
              <w:t>高度</w:t>
            </w:r>
            <w:r>
              <w:rPr>
                <w:rFonts w:ascii="Times New Roman" w:hAnsi="Times New Roman" w:eastAsia="方正仿宋简体"/>
                <w:color w:val="auto"/>
                <w:sz w:val="24"/>
              </w:rPr>
              <w:t>2</w:t>
            </w:r>
            <w:r>
              <w:rPr>
                <w:rFonts w:hint="eastAsia" w:ascii="Times New Roman" w:hAnsi="Times New Roman" w:eastAsia="方正仿宋简体"/>
                <w:color w:val="auto"/>
                <w:sz w:val="24"/>
              </w:rPr>
              <w:t>米以上或</w:t>
            </w:r>
            <w:r>
              <w:rPr>
                <w:rFonts w:ascii="Times New Roman" w:hAnsi="Times New Roman" w:eastAsia="方正仿宋简体"/>
                <w:color w:val="auto"/>
                <w:sz w:val="24"/>
              </w:rPr>
              <w:t>2</w:t>
            </w:r>
            <w:r>
              <w:rPr>
                <w:rFonts w:hint="eastAsia" w:ascii="Times New Roman" w:hAnsi="Times New Roman" w:eastAsia="方正仿宋简体"/>
                <w:color w:val="auto"/>
                <w:sz w:val="24"/>
              </w:rPr>
              <w:t>米以下的，按比例折算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99" w:hRule="exact"/>
          <w:jc w:val="center"/>
        </w:trPr>
        <w:tc>
          <w:tcPr>
            <w:tcW w:w="893"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女</w:t>
            </w:r>
          </w:p>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儿</w:t>
            </w:r>
          </w:p>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墙</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普通类型</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200</w:t>
            </w:r>
          </w:p>
        </w:tc>
        <w:tc>
          <w:tcPr>
            <w:tcW w:w="3795" w:type="dxa"/>
            <w:noWrap/>
            <w:vAlign w:val="center"/>
          </w:tcPr>
          <w:p>
            <w:pPr>
              <w:keepNext w:val="0"/>
              <w:keepLines w:val="0"/>
              <w:pageBreakBefore w:val="0"/>
              <w:widowControl w:val="0"/>
              <w:topLinePunct w:val="0"/>
              <w:bidi w:val="0"/>
              <w:spacing w:line="260" w:lineRule="exact"/>
              <w:jc w:val="left"/>
              <w:rPr>
                <w:rFonts w:ascii="Times New Roman" w:hAnsi="Times New Roman" w:eastAsia="方正仿宋简体"/>
                <w:color w:val="auto"/>
                <w:sz w:val="24"/>
              </w:rPr>
            </w:pPr>
            <w:r>
              <w:rPr>
                <w:rFonts w:hint="eastAsia" w:ascii="Times New Roman" w:hAnsi="Times New Roman" w:eastAsia="方正仿宋简体"/>
                <w:color w:val="auto"/>
                <w:sz w:val="24"/>
              </w:rPr>
              <w:t>实心砖墙或镂空水泥浇筑栏杆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729"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斜面贴琉璃瓦</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540</w:t>
            </w:r>
          </w:p>
        </w:tc>
        <w:tc>
          <w:tcPr>
            <w:tcW w:w="3795" w:type="dxa"/>
            <w:noWrap/>
            <w:vAlign w:val="center"/>
          </w:tcPr>
          <w:p>
            <w:pPr>
              <w:keepNext w:val="0"/>
              <w:keepLines w:val="0"/>
              <w:pageBreakBefore w:val="0"/>
              <w:widowControl w:val="0"/>
              <w:topLinePunct w:val="0"/>
              <w:bidi w:val="0"/>
              <w:spacing w:line="260" w:lineRule="exact"/>
              <w:jc w:val="left"/>
              <w:rPr>
                <w:rFonts w:ascii="Times New Roman" w:hAnsi="Times New Roman" w:eastAsia="方正仿宋简体"/>
                <w:color w:val="auto"/>
                <w:sz w:val="24"/>
              </w:rPr>
            </w:pPr>
            <w:r>
              <w:rPr>
                <w:rFonts w:hint="eastAsia" w:ascii="Times New Roman" w:hAnsi="Times New Roman" w:eastAsia="方正仿宋简体"/>
                <w:color w:val="auto"/>
                <w:sz w:val="24"/>
              </w:rPr>
              <w:t>钢筋混凝土浇筑斜面，贴琉璃瓦、瓷砖，以斜面计算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83" w:hRule="exact"/>
          <w:jc w:val="center"/>
        </w:trPr>
        <w:tc>
          <w:tcPr>
            <w:tcW w:w="893"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地基</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各类材质</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立方米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400</w:t>
            </w:r>
          </w:p>
        </w:tc>
        <w:tc>
          <w:tcPr>
            <w:tcW w:w="3795" w:type="dxa"/>
            <w:noWrap/>
            <w:vAlign w:val="center"/>
          </w:tcPr>
          <w:p>
            <w:pPr>
              <w:keepNext w:val="0"/>
              <w:keepLines w:val="0"/>
              <w:pageBreakBefore w:val="0"/>
              <w:widowControl w:val="0"/>
              <w:topLinePunct w:val="0"/>
              <w:bidi w:val="0"/>
              <w:spacing w:line="260" w:lineRule="exact"/>
              <w:jc w:val="lef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699" w:hRule="exact"/>
          <w:jc w:val="center"/>
        </w:trPr>
        <w:tc>
          <w:tcPr>
            <w:tcW w:w="893"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挡</w:t>
            </w:r>
          </w:p>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土</w:t>
            </w:r>
          </w:p>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墙</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乱毛石</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200</w:t>
            </w:r>
          </w:p>
        </w:tc>
        <w:tc>
          <w:tcPr>
            <w:tcW w:w="3795" w:type="dxa"/>
            <w:vMerge w:val="restart"/>
            <w:noWrap/>
            <w:vAlign w:val="center"/>
          </w:tcPr>
          <w:p>
            <w:pPr>
              <w:keepNext w:val="0"/>
              <w:keepLines w:val="0"/>
              <w:pageBreakBefore w:val="0"/>
              <w:widowControl w:val="0"/>
              <w:topLinePunct w:val="0"/>
              <w:bidi w:val="0"/>
              <w:spacing w:line="260" w:lineRule="exact"/>
              <w:jc w:val="left"/>
              <w:rPr>
                <w:rFonts w:ascii="Times New Roman" w:hAnsi="Times New Roman" w:eastAsia="方正仿宋简体"/>
                <w:color w:val="auto"/>
                <w:sz w:val="24"/>
              </w:rPr>
            </w:pPr>
            <w:r>
              <w:rPr>
                <w:rFonts w:hint="eastAsia" w:ascii="Times New Roman" w:hAnsi="Times New Roman" w:eastAsia="方正仿宋简体"/>
                <w:color w:val="auto"/>
                <w:sz w:val="24"/>
              </w:rPr>
              <w:t>高度</w:t>
            </w:r>
            <w:r>
              <w:rPr>
                <w:rFonts w:ascii="Times New Roman" w:hAnsi="Times New Roman" w:eastAsia="方正仿宋简体"/>
                <w:color w:val="auto"/>
                <w:sz w:val="24"/>
              </w:rPr>
              <w:t>≥1.5</w:t>
            </w:r>
            <w:r>
              <w:rPr>
                <w:rFonts w:hint="eastAsia" w:ascii="Times New Roman" w:hAnsi="Times New Roman" w:eastAsia="方正仿宋简体"/>
                <w:color w:val="auto"/>
                <w:sz w:val="24"/>
              </w:rPr>
              <w:t>米，</w:t>
            </w:r>
            <w:r>
              <w:rPr>
                <w:rFonts w:ascii="Times New Roman" w:hAnsi="Times New Roman" w:eastAsia="方正仿宋简体"/>
                <w:color w:val="auto"/>
                <w:sz w:val="24"/>
              </w:rPr>
              <w:t>1.5</w:t>
            </w:r>
            <w:r>
              <w:rPr>
                <w:rFonts w:hint="eastAsia" w:ascii="Times New Roman" w:hAnsi="Times New Roman" w:eastAsia="方正仿宋简体"/>
                <w:color w:val="auto"/>
                <w:sz w:val="24"/>
              </w:rPr>
              <w:t>米以下按比例折算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条石</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250</w:t>
            </w:r>
          </w:p>
        </w:tc>
        <w:tc>
          <w:tcPr>
            <w:tcW w:w="3795" w:type="dxa"/>
            <w:vMerge w:val="continue"/>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45" w:hRule="exact"/>
          <w:jc w:val="center"/>
        </w:trPr>
        <w:tc>
          <w:tcPr>
            <w:tcW w:w="893"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埕院</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石板（大铺）</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400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09"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石板（中铺）</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250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79"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石板（小铺）</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150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09"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砖</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80-100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43"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水泥</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100-150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炉灶</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土</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200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按炉口计补偿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砖</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300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pacing w:val="-12"/>
                <w:sz w:val="24"/>
              </w:rPr>
            </w:pPr>
            <w:r>
              <w:rPr>
                <w:rFonts w:hint="eastAsia" w:ascii="Times New Roman" w:hAnsi="Times New Roman" w:eastAsia="方正仿宋简体"/>
                <w:color w:val="auto"/>
                <w:sz w:val="24"/>
              </w:rPr>
              <w:t>按炉口计补偿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瓷贴</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400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按炉口计补偿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699"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灶台面</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400</w:t>
            </w:r>
          </w:p>
        </w:tc>
        <w:tc>
          <w:tcPr>
            <w:tcW w:w="3795" w:type="dxa"/>
            <w:noWrap/>
            <w:vAlign w:val="center"/>
          </w:tcPr>
          <w:p>
            <w:pPr>
              <w:keepNext w:val="0"/>
              <w:keepLines w:val="0"/>
              <w:pageBreakBefore w:val="0"/>
              <w:widowControl w:val="0"/>
              <w:topLinePunct w:val="0"/>
              <w:bidi w:val="0"/>
              <w:spacing w:line="360" w:lineRule="exact"/>
              <w:rPr>
                <w:rFonts w:ascii="Times New Roman" w:hAnsi="Times New Roman" w:eastAsia="方正仿宋简体"/>
                <w:color w:val="auto"/>
                <w:sz w:val="24"/>
              </w:rPr>
            </w:pPr>
            <w:r>
              <w:rPr>
                <w:rFonts w:hint="eastAsia" w:ascii="Times New Roman" w:hAnsi="Times New Roman" w:eastAsia="方正仿宋简体"/>
                <w:color w:val="auto"/>
                <w:sz w:val="24"/>
              </w:rPr>
              <w:t>花岗岩、大理石或不锈钢面台，下部简易层板，无柜门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381"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焙灶</w:t>
            </w:r>
          </w:p>
        </w:tc>
        <w:tc>
          <w:tcPr>
            <w:tcW w:w="992" w:type="dxa"/>
            <w:noWrap/>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hint="eastAsia" w:ascii="Times New Roman" w:hAnsi="Times New Roman"/>
                <w:color w:val="auto"/>
                <w:sz w:val="24"/>
              </w:rPr>
              <w:t>300</w:t>
            </w:r>
          </w:p>
        </w:tc>
        <w:tc>
          <w:tcPr>
            <w:tcW w:w="3795" w:type="dxa"/>
            <w:noWrap/>
            <w:vAlign w:val="center"/>
          </w:tcPr>
          <w:p>
            <w:pPr>
              <w:keepNext w:val="0"/>
              <w:keepLines w:val="0"/>
              <w:pageBreakBefore w:val="0"/>
              <w:widowControl w:val="0"/>
              <w:topLinePunct w:val="0"/>
              <w:bidi w:val="0"/>
              <w:spacing w:line="360" w:lineRule="exact"/>
              <w:rPr>
                <w:rFonts w:hint="eastAsia" w:ascii="Times New Roman" w:hAnsi="Times New Roman" w:eastAsia="方正仿宋简体"/>
                <w:color w:val="auto"/>
                <w:sz w:val="24"/>
              </w:rPr>
            </w:pPr>
            <w:r>
              <w:rPr>
                <w:rFonts w:hint="eastAsia" w:ascii="Times New Roman" w:hAnsi="Times New Roman" w:eastAsia="方正仿宋简体"/>
                <w:color w:val="auto"/>
                <w:sz w:val="24"/>
              </w:rPr>
              <w:t>用于烘焙龙眼、荔枝等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整体橱柜</w:t>
            </w:r>
          </w:p>
        </w:tc>
        <w:tc>
          <w:tcPr>
            <w:tcW w:w="1999" w:type="dxa"/>
            <w:noWrap/>
            <w:vAlign w:val="center"/>
          </w:tcPr>
          <w:p>
            <w:pPr>
              <w:keepNext w:val="0"/>
              <w:keepLines w:val="0"/>
              <w:pageBreakBefore w:val="0"/>
              <w:widowControl w:val="0"/>
              <w:topLinePunct w:val="0"/>
              <w:bidi w:val="0"/>
              <w:spacing w:line="40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台面</w:t>
            </w:r>
          </w:p>
        </w:tc>
        <w:tc>
          <w:tcPr>
            <w:tcW w:w="992" w:type="dxa"/>
            <w:noWrap/>
            <w:vAlign w:val="center"/>
          </w:tcPr>
          <w:p>
            <w:pPr>
              <w:keepNext w:val="0"/>
              <w:keepLines w:val="0"/>
              <w:pageBreakBefore w:val="0"/>
              <w:widowControl w:val="0"/>
              <w:topLinePunct w:val="0"/>
              <w:bidi w:val="0"/>
              <w:spacing w:line="40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topLinePunct w:val="0"/>
              <w:bidi w:val="0"/>
              <w:spacing w:line="400" w:lineRule="exact"/>
              <w:jc w:val="center"/>
              <w:rPr>
                <w:rFonts w:ascii="Times New Roman" w:hAnsi="Times New Roman"/>
                <w:color w:val="auto"/>
                <w:sz w:val="24"/>
              </w:rPr>
            </w:pPr>
            <w:r>
              <w:rPr>
                <w:rFonts w:ascii="Times New Roman" w:hAnsi="Times New Roman"/>
                <w:color w:val="auto"/>
                <w:sz w:val="24"/>
              </w:rPr>
              <w:t>300</w:t>
            </w:r>
          </w:p>
        </w:tc>
        <w:tc>
          <w:tcPr>
            <w:tcW w:w="3795" w:type="dxa"/>
            <w:noWrap/>
            <w:vAlign w:val="center"/>
          </w:tcPr>
          <w:p>
            <w:pPr>
              <w:keepNext w:val="0"/>
              <w:keepLines w:val="0"/>
              <w:pageBreakBefore w:val="0"/>
              <w:widowControl w:val="0"/>
              <w:topLinePunct w:val="0"/>
              <w:bidi w:val="0"/>
              <w:spacing w:line="400" w:lineRule="exact"/>
              <w:rPr>
                <w:rFonts w:ascii="Times New Roman" w:hAnsi="Times New Roman" w:eastAsia="方正仿宋简体"/>
                <w:color w:val="auto"/>
                <w:sz w:val="24"/>
              </w:rPr>
            </w:pPr>
            <w:r>
              <w:rPr>
                <w:rFonts w:hint="eastAsia" w:ascii="Times New Roman" w:hAnsi="Times New Roman" w:eastAsia="方正仿宋简体"/>
                <w:color w:val="auto"/>
                <w:sz w:val="24"/>
              </w:rPr>
              <w:t>花岗岩或人造石英石台面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40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下柜</w:t>
            </w:r>
          </w:p>
        </w:tc>
        <w:tc>
          <w:tcPr>
            <w:tcW w:w="992" w:type="dxa"/>
            <w:noWrap/>
            <w:vAlign w:val="center"/>
          </w:tcPr>
          <w:p>
            <w:pPr>
              <w:keepNext w:val="0"/>
              <w:keepLines w:val="0"/>
              <w:pageBreakBefore w:val="0"/>
              <w:widowControl w:val="0"/>
              <w:topLinePunct w:val="0"/>
              <w:bidi w:val="0"/>
              <w:spacing w:line="40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topLinePunct w:val="0"/>
              <w:bidi w:val="0"/>
              <w:spacing w:line="400" w:lineRule="exact"/>
              <w:jc w:val="center"/>
              <w:rPr>
                <w:rFonts w:ascii="Times New Roman" w:hAnsi="Times New Roman"/>
                <w:color w:val="auto"/>
                <w:sz w:val="24"/>
              </w:rPr>
            </w:pPr>
            <w:r>
              <w:rPr>
                <w:rFonts w:ascii="Times New Roman" w:hAnsi="Times New Roman"/>
                <w:color w:val="auto"/>
                <w:sz w:val="24"/>
              </w:rPr>
              <w:t>600</w:t>
            </w:r>
          </w:p>
        </w:tc>
        <w:tc>
          <w:tcPr>
            <w:tcW w:w="3795" w:type="dxa"/>
            <w:noWrap/>
            <w:vAlign w:val="center"/>
          </w:tcPr>
          <w:p>
            <w:pPr>
              <w:keepNext w:val="0"/>
              <w:keepLines w:val="0"/>
              <w:pageBreakBefore w:val="0"/>
              <w:widowControl w:val="0"/>
              <w:topLinePunct w:val="0"/>
              <w:bidi w:val="0"/>
              <w:spacing w:line="400" w:lineRule="exact"/>
              <w:rPr>
                <w:rFonts w:ascii="Times New Roman" w:hAnsi="Times New Roman" w:eastAsia="方正仿宋简体"/>
                <w:b/>
                <w:bCs/>
                <w:color w:val="auto"/>
                <w:spacing w:val="-10"/>
                <w:sz w:val="24"/>
              </w:rPr>
            </w:pPr>
            <w:r>
              <w:rPr>
                <w:rFonts w:hint="eastAsia" w:ascii="Times New Roman" w:hAnsi="Times New Roman" w:eastAsia="方正仿宋简体"/>
                <w:color w:val="auto"/>
                <w:spacing w:val="-10"/>
                <w:sz w:val="24"/>
              </w:rPr>
              <w:t>防潮板定制，柜门完整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40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上柜</w:t>
            </w:r>
          </w:p>
        </w:tc>
        <w:tc>
          <w:tcPr>
            <w:tcW w:w="992" w:type="dxa"/>
            <w:noWrap/>
            <w:vAlign w:val="center"/>
          </w:tcPr>
          <w:p>
            <w:pPr>
              <w:keepNext w:val="0"/>
              <w:keepLines w:val="0"/>
              <w:pageBreakBefore w:val="0"/>
              <w:widowControl w:val="0"/>
              <w:topLinePunct w:val="0"/>
              <w:bidi w:val="0"/>
              <w:spacing w:line="40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topLinePunct w:val="0"/>
              <w:bidi w:val="0"/>
              <w:spacing w:line="400" w:lineRule="exact"/>
              <w:jc w:val="center"/>
              <w:rPr>
                <w:rFonts w:ascii="Times New Roman" w:hAnsi="Times New Roman"/>
                <w:color w:val="auto"/>
                <w:sz w:val="24"/>
              </w:rPr>
            </w:pPr>
            <w:r>
              <w:rPr>
                <w:rFonts w:ascii="Times New Roman" w:hAnsi="Times New Roman"/>
                <w:color w:val="auto"/>
                <w:sz w:val="24"/>
              </w:rPr>
              <w:t>350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人造板定制，柜门完整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24" w:hRule="exact"/>
          <w:jc w:val="center"/>
        </w:trPr>
        <w:tc>
          <w:tcPr>
            <w:tcW w:w="893"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水池</w:t>
            </w:r>
          </w:p>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水柜</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抹水泥砖</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100</w:t>
            </w:r>
          </w:p>
        </w:tc>
        <w:tc>
          <w:tcPr>
            <w:tcW w:w="3795" w:type="dxa"/>
            <w:vMerge w:val="restart"/>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指厨房或浴室内洗刷用小水池小水柜或室外搭设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89"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砖贴瓷砖</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150</w:t>
            </w:r>
          </w:p>
        </w:tc>
        <w:tc>
          <w:tcPr>
            <w:tcW w:w="3795"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洗面台</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400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花岗岩、大理石宽式台面的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三化厕</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2500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适用民宅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pacing w:val="-20"/>
                <w:sz w:val="24"/>
              </w:rPr>
            </w:pPr>
            <w:r>
              <w:rPr>
                <w:rFonts w:hint="eastAsia" w:ascii="Times New Roman" w:hAnsi="Times New Roman" w:eastAsia="方正仿宋简体"/>
                <w:color w:val="auto"/>
                <w:spacing w:val="-20"/>
                <w:sz w:val="24"/>
              </w:rPr>
              <w:t>蹲位</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200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pacing w:val="-20"/>
                <w:sz w:val="24"/>
              </w:rPr>
            </w:pPr>
            <w:r>
              <w:rPr>
                <w:rFonts w:hint="eastAsia" w:ascii="Times New Roman" w:hAnsi="Times New Roman" w:eastAsia="方正仿宋简体"/>
                <w:color w:val="auto"/>
                <w:spacing w:val="-20"/>
                <w:sz w:val="24"/>
              </w:rPr>
              <w:t>坐盆</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300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746" w:hRule="exact"/>
          <w:jc w:val="center"/>
        </w:trPr>
        <w:tc>
          <w:tcPr>
            <w:tcW w:w="893"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简易</w:t>
            </w:r>
          </w:p>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搭盖</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snapToGrid w:val="0"/>
                <w:color w:val="auto"/>
                <w:sz w:val="24"/>
              </w:rPr>
            </w:pPr>
            <w:r>
              <w:rPr>
                <w:rFonts w:hint="eastAsia" w:ascii="Times New Roman" w:hAnsi="Times New Roman" w:eastAsia="方正仿宋简体"/>
                <w:snapToGrid w:val="0"/>
                <w:color w:val="auto"/>
                <w:sz w:val="24"/>
              </w:rPr>
              <w:t>油毛毡</w:t>
            </w:r>
          </w:p>
          <w:p>
            <w:pPr>
              <w:keepNext w:val="0"/>
              <w:keepLines w:val="0"/>
              <w:pageBreakBefore w:val="0"/>
              <w:widowControl w:val="0"/>
              <w:topLinePunct w:val="0"/>
              <w:bidi w:val="0"/>
              <w:spacing w:line="260" w:lineRule="exact"/>
              <w:jc w:val="center"/>
              <w:rPr>
                <w:rFonts w:ascii="Times New Roman" w:hAnsi="Times New Roman" w:eastAsia="方正仿宋简体"/>
                <w:color w:val="auto"/>
                <w:spacing w:val="-20"/>
                <w:sz w:val="24"/>
              </w:rPr>
            </w:pPr>
            <w:r>
              <w:rPr>
                <w:rFonts w:hint="eastAsia" w:ascii="Times New Roman" w:hAnsi="Times New Roman" w:eastAsia="方正仿宋简体"/>
                <w:snapToGrid w:val="0"/>
                <w:color w:val="auto"/>
                <w:sz w:val="24"/>
              </w:rPr>
              <w:t>木棉瓦</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150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snapToGrid w:val="0"/>
                <w:color w:val="auto"/>
                <w:sz w:val="24"/>
              </w:rPr>
            </w:pPr>
            <w:r>
              <w:rPr>
                <w:rFonts w:hint="eastAsia" w:ascii="Times New Roman" w:hAnsi="Times New Roman" w:eastAsia="方正仿宋简体"/>
                <w:snapToGrid w:val="0"/>
                <w:color w:val="auto"/>
                <w:sz w:val="24"/>
              </w:rPr>
              <w:t>指主架竹、木、机砖、空心砖，屋面油毛毡、木棉瓦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81"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铁皮</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250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指主架机砖、空心砖，屋面铁皮或彩板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活动板房</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300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集装箱</w:t>
            </w:r>
          </w:p>
        </w:tc>
        <w:tc>
          <w:tcPr>
            <w:tcW w:w="992" w:type="dxa"/>
            <w:noWrap/>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hint="eastAsia" w:ascii="Times New Roman" w:hAnsi="Times New Roman"/>
                <w:color w:val="auto"/>
                <w:sz w:val="24"/>
              </w:rPr>
              <w:t>900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b/>
                <w:bCs/>
                <w:color w:val="auto"/>
                <w:sz w:val="24"/>
              </w:rPr>
            </w:pPr>
            <w:r>
              <w:rPr>
                <w:rFonts w:ascii="Times New Roman" w:hAnsi="Times New Roman" w:eastAsia="方正仿宋简体"/>
                <w:color w:val="auto"/>
                <w:sz w:val="24"/>
              </w:rPr>
              <w:t>迁移费用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水塔</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不锈钢</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hint="eastAsia" w:ascii="Times New Roman" w:hAnsi="Times New Roman"/>
                <w:color w:val="auto"/>
                <w:sz w:val="24"/>
              </w:rPr>
              <w:t>6</w:t>
            </w:r>
            <w:r>
              <w:rPr>
                <w:rFonts w:ascii="Times New Roman" w:hAnsi="Times New Roman"/>
                <w:color w:val="auto"/>
                <w:sz w:val="24"/>
              </w:rPr>
              <w:t>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1吨以上每增加1吨增加300元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ascii="Times New Roman" w:hAnsi="Times New Roman" w:eastAsia="方正仿宋简体"/>
                <w:color w:val="auto"/>
                <w:sz w:val="24"/>
              </w:rPr>
              <w:t>砖</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hint="eastAsia" w:ascii="Times New Roman" w:hAnsi="Times New Roman"/>
                <w:color w:val="auto"/>
                <w:sz w:val="24"/>
              </w:rPr>
              <w:t>800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3吨以上每增加1吨增加300元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3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300" w:lineRule="exact"/>
              <w:jc w:val="center"/>
              <w:rPr>
                <w:rFonts w:ascii="Times New Roman" w:hAnsi="Times New Roman" w:eastAsia="方正仿宋简体"/>
                <w:color w:val="auto"/>
                <w:spacing w:val="-28"/>
                <w:sz w:val="24"/>
              </w:rPr>
            </w:pPr>
            <w:r>
              <w:rPr>
                <w:rFonts w:hint="eastAsia" w:ascii="Times New Roman" w:hAnsi="Times New Roman" w:eastAsia="方正仿宋简体"/>
                <w:color w:val="auto"/>
                <w:sz w:val="24"/>
              </w:rPr>
              <w:t>混凝土</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hint="eastAsia" w:ascii="Times New Roman" w:hAnsi="Times New Roman"/>
                <w:color w:val="auto"/>
                <w:sz w:val="24"/>
              </w:rPr>
              <w:t>1</w:t>
            </w:r>
            <w:r>
              <w:rPr>
                <w:rFonts w:ascii="Times New Roman" w:hAnsi="Times New Roman"/>
                <w:color w:val="auto"/>
                <w:sz w:val="24"/>
              </w:rPr>
              <w:t>300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3吨以上每增加1吨增加300元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30" w:hRule="atLeast"/>
          <w:jc w:val="center"/>
        </w:trPr>
        <w:tc>
          <w:tcPr>
            <w:tcW w:w="893"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变</w:t>
            </w:r>
          </w:p>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压</w:t>
            </w:r>
          </w:p>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器</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50千伏</w:t>
            </w:r>
          </w:p>
        </w:tc>
        <w:tc>
          <w:tcPr>
            <w:tcW w:w="992" w:type="dxa"/>
            <w:noWrap w:val="0"/>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ascii="Times New Roman" w:hAnsi="Times New Roman" w:eastAsia="方正仿宋简体"/>
                <w:color w:val="auto"/>
                <w:sz w:val="24"/>
              </w:rPr>
              <w:t>台</w:t>
            </w:r>
          </w:p>
        </w:tc>
        <w:tc>
          <w:tcPr>
            <w:tcW w:w="1306" w:type="dxa"/>
            <w:noWrap w:val="0"/>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10万</w:t>
            </w:r>
          </w:p>
        </w:tc>
        <w:tc>
          <w:tcPr>
            <w:tcW w:w="3795" w:type="dxa"/>
            <w:vMerge w:val="restart"/>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迁移补偿，应提供电力部门相应发票或证明材料，或以电力部门的发票金额进行补偿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35"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100千伏</w:t>
            </w:r>
          </w:p>
        </w:tc>
        <w:tc>
          <w:tcPr>
            <w:tcW w:w="992" w:type="dxa"/>
            <w:noWrap w:val="0"/>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0"/>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12万</w:t>
            </w:r>
          </w:p>
        </w:tc>
        <w:tc>
          <w:tcPr>
            <w:tcW w:w="3795" w:type="dxa"/>
            <w:vMerge w:val="continue"/>
            <w:noWrap/>
            <w:vAlign w:val="center"/>
          </w:tcPr>
          <w:p>
            <w:pPr>
              <w:keepNext w:val="0"/>
              <w:keepLines w:val="0"/>
              <w:pageBreakBefore w:val="0"/>
              <w:widowControl w:val="0"/>
              <w:topLinePunct w:val="0"/>
              <w:bidi w:val="0"/>
              <w:spacing w:line="260" w:lineRule="exact"/>
              <w:rPr>
                <w:rFonts w:hint="eastAsia"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08"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160千伏</w:t>
            </w:r>
          </w:p>
        </w:tc>
        <w:tc>
          <w:tcPr>
            <w:tcW w:w="992" w:type="dxa"/>
            <w:noWrap w:val="0"/>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0"/>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13万</w:t>
            </w:r>
          </w:p>
        </w:tc>
        <w:tc>
          <w:tcPr>
            <w:tcW w:w="3795" w:type="dxa"/>
            <w:vMerge w:val="continue"/>
            <w:noWrap/>
            <w:vAlign w:val="center"/>
          </w:tcPr>
          <w:p>
            <w:pPr>
              <w:keepNext w:val="0"/>
              <w:keepLines w:val="0"/>
              <w:pageBreakBefore w:val="0"/>
              <w:widowControl w:val="0"/>
              <w:topLinePunct w:val="0"/>
              <w:bidi w:val="0"/>
              <w:spacing w:line="260" w:lineRule="exact"/>
              <w:rPr>
                <w:rFonts w:hint="eastAsia"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02"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200千伏</w:t>
            </w:r>
          </w:p>
        </w:tc>
        <w:tc>
          <w:tcPr>
            <w:tcW w:w="992" w:type="dxa"/>
            <w:noWrap w:val="0"/>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0"/>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13.5万</w:t>
            </w:r>
          </w:p>
        </w:tc>
        <w:tc>
          <w:tcPr>
            <w:tcW w:w="3795" w:type="dxa"/>
            <w:vMerge w:val="continue"/>
            <w:noWrap/>
            <w:vAlign w:val="center"/>
          </w:tcPr>
          <w:p>
            <w:pPr>
              <w:keepNext w:val="0"/>
              <w:keepLines w:val="0"/>
              <w:pageBreakBefore w:val="0"/>
              <w:widowControl w:val="0"/>
              <w:topLinePunct w:val="0"/>
              <w:bidi w:val="0"/>
              <w:spacing w:line="260" w:lineRule="exact"/>
              <w:rPr>
                <w:rFonts w:hint="eastAsia"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1"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250千伏</w:t>
            </w:r>
          </w:p>
        </w:tc>
        <w:tc>
          <w:tcPr>
            <w:tcW w:w="992" w:type="dxa"/>
            <w:noWrap w:val="0"/>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0"/>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14万</w:t>
            </w:r>
          </w:p>
        </w:tc>
        <w:tc>
          <w:tcPr>
            <w:tcW w:w="3795" w:type="dxa"/>
            <w:vMerge w:val="continue"/>
            <w:noWrap/>
            <w:vAlign w:val="center"/>
          </w:tcPr>
          <w:p>
            <w:pPr>
              <w:keepNext w:val="0"/>
              <w:keepLines w:val="0"/>
              <w:pageBreakBefore w:val="0"/>
              <w:widowControl w:val="0"/>
              <w:topLinePunct w:val="0"/>
              <w:bidi w:val="0"/>
              <w:spacing w:line="260" w:lineRule="exact"/>
              <w:rPr>
                <w:rFonts w:hint="eastAsia"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396" w:hRule="exact"/>
          <w:jc w:val="center"/>
        </w:trPr>
        <w:tc>
          <w:tcPr>
            <w:tcW w:w="893"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三</w:t>
            </w:r>
          </w:p>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相</w:t>
            </w:r>
          </w:p>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电</w:t>
            </w: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ascii="Times New Roman" w:hAnsi="Times New Roman" w:eastAsia="方正仿宋简体"/>
                <w:color w:val="auto"/>
                <w:sz w:val="24"/>
              </w:rPr>
              <w:t>20A</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1520</w:t>
            </w:r>
          </w:p>
        </w:tc>
        <w:tc>
          <w:tcPr>
            <w:tcW w:w="3795" w:type="dxa"/>
            <w:vMerge w:val="restart"/>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应提供电力部门相应的发票或证明材料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33"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ascii="Times New Roman" w:hAnsi="Times New Roman" w:eastAsia="方正仿宋简体"/>
                <w:color w:val="auto"/>
                <w:sz w:val="24"/>
              </w:rPr>
              <w:t>40A</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3040</w:t>
            </w:r>
          </w:p>
        </w:tc>
        <w:tc>
          <w:tcPr>
            <w:tcW w:w="3795" w:type="dxa"/>
            <w:vMerge w:val="continue"/>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37"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ascii="Times New Roman" w:hAnsi="Times New Roman" w:eastAsia="方正仿宋简体"/>
                <w:color w:val="auto"/>
                <w:sz w:val="24"/>
              </w:rPr>
              <w:t>60A</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4560</w:t>
            </w:r>
          </w:p>
        </w:tc>
        <w:tc>
          <w:tcPr>
            <w:tcW w:w="3795" w:type="dxa"/>
            <w:vMerge w:val="continue"/>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34" w:hRule="exact"/>
          <w:jc w:val="center"/>
        </w:trPr>
        <w:tc>
          <w:tcPr>
            <w:tcW w:w="893"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其他</w:t>
            </w:r>
          </w:p>
        </w:tc>
        <w:tc>
          <w:tcPr>
            <w:tcW w:w="1999" w:type="dxa"/>
            <w:noWrap/>
            <w:vAlign w:val="center"/>
          </w:tcPr>
          <w:p>
            <w:pPr>
              <w:keepNext w:val="0"/>
              <w:keepLines w:val="0"/>
              <w:pageBreakBefore w:val="0"/>
              <w:widowControl w:val="0"/>
              <w:tabs>
                <w:tab w:val="left" w:pos="807"/>
              </w:tabs>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阁楼（木、铁）</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180</w:t>
            </w:r>
          </w:p>
        </w:tc>
        <w:tc>
          <w:tcPr>
            <w:tcW w:w="3795" w:type="dxa"/>
            <w:vMerge w:val="restart"/>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与房屋同时建造且层高</w:t>
            </w:r>
            <w:r>
              <w:rPr>
                <w:rFonts w:ascii="Times New Roman" w:hAnsi="Times New Roman" w:eastAsia="方正仿宋简体"/>
                <w:color w:val="auto"/>
                <w:sz w:val="24"/>
              </w:rPr>
              <w:t>H&lt;1.6m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613"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abs>
                <w:tab w:val="left" w:pos="807"/>
              </w:tabs>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阁楼</w:t>
            </w:r>
          </w:p>
          <w:p>
            <w:pPr>
              <w:keepNext w:val="0"/>
              <w:keepLines w:val="0"/>
              <w:pageBreakBefore w:val="0"/>
              <w:widowControl w:val="0"/>
              <w:tabs>
                <w:tab w:val="left" w:pos="807"/>
              </w:tabs>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（钢筋混凝土）</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hint="eastAsia" w:ascii="Times New Roman" w:hAnsi="Times New Roman"/>
                <w:color w:val="auto"/>
                <w:sz w:val="24"/>
              </w:rPr>
              <w:t>450</w:t>
            </w:r>
          </w:p>
        </w:tc>
        <w:tc>
          <w:tcPr>
            <w:tcW w:w="3795" w:type="dxa"/>
            <w:vMerge w:val="continue"/>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91"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hint="eastAsia" w:ascii="Times New Roman" w:hAnsi="Times New Roman" w:eastAsia="方正仿宋简体"/>
                <w:color w:val="auto"/>
                <w:sz w:val="24"/>
              </w:rPr>
            </w:pPr>
            <w:r>
              <w:rPr>
                <w:rFonts w:hint="eastAsia" w:ascii="Times New Roman" w:hAnsi="Times New Roman" w:eastAsia="方正仿宋简体"/>
                <w:color w:val="auto"/>
                <w:sz w:val="24"/>
              </w:rPr>
              <w:t>坡屋面阁楼</w:t>
            </w:r>
          </w:p>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（钢筋混凝土）</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hint="eastAsia" w:ascii="Times New Roman" w:hAnsi="Times New Roman"/>
                <w:color w:val="auto"/>
                <w:sz w:val="24"/>
              </w:rPr>
              <w:t>800</w:t>
            </w:r>
          </w:p>
        </w:tc>
        <w:tc>
          <w:tcPr>
            <w:tcW w:w="3795" w:type="dxa"/>
            <w:vMerge w:val="continue"/>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5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风楼</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300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68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vMerge w:val="restart"/>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壁橱</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300-600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高度</w:t>
            </w:r>
            <w:r>
              <w:rPr>
                <w:rFonts w:ascii="Times New Roman" w:hAnsi="Times New Roman" w:eastAsia="方正仿宋简体"/>
                <w:color w:val="auto"/>
                <w:sz w:val="24"/>
              </w:rPr>
              <w:t>1.5</w:t>
            </w:r>
            <w:r>
              <w:rPr>
                <w:rFonts w:hint="eastAsia" w:eastAsia="方正仿宋简体"/>
                <w:color w:val="auto"/>
                <w:sz w:val="24"/>
                <w:lang w:eastAsia="zh-CN"/>
              </w:rPr>
              <w:t>—</w:t>
            </w:r>
            <w:r>
              <w:rPr>
                <w:rFonts w:ascii="Times New Roman" w:hAnsi="Times New Roman" w:eastAsia="方正仿宋简体"/>
                <w:color w:val="auto"/>
                <w:sz w:val="24"/>
              </w:rPr>
              <w:t>2.0</w:t>
            </w:r>
            <w:r>
              <w:rPr>
                <w:rFonts w:hint="eastAsia" w:ascii="Times New Roman" w:hAnsi="Times New Roman" w:eastAsia="方正仿宋简体"/>
                <w:color w:val="auto"/>
                <w:sz w:val="24"/>
              </w:rPr>
              <w:t>米，简易木板、门扇（或无门扇）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759"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700-900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高度</w:t>
            </w:r>
            <w:r>
              <w:rPr>
                <w:rFonts w:ascii="Times New Roman" w:hAnsi="Times New Roman" w:eastAsia="方正仿宋简体"/>
                <w:color w:val="auto"/>
                <w:sz w:val="24"/>
              </w:rPr>
              <w:t>1.5</w:t>
            </w:r>
            <w:r>
              <w:rPr>
                <w:rFonts w:hint="eastAsia" w:eastAsia="方正仿宋简体"/>
                <w:color w:val="auto"/>
                <w:sz w:val="24"/>
                <w:lang w:eastAsia="zh-CN"/>
              </w:rPr>
              <w:t>—</w:t>
            </w:r>
            <w:r>
              <w:rPr>
                <w:rFonts w:ascii="Times New Roman" w:hAnsi="Times New Roman" w:eastAsia="方正仿宋简体"/>
                <w:color w:val="auto"/>
                <w:sz w:val="24"/>
              </w:rPr>
              <w:t>2.2</w:t>
            </w:r>
            <w:r>
              <w:rPr>
                <w:rFonts w:hint="eastAsia" w:ascii="Times New Roman" w:hAnsi="Times New Roman" w:eastAsia="方正仿宋简体"/>
                <w:color w:val="auto"/>
                <w:sz w:val="24"/>
              </w:rPr>
              <w:t>米，精制木板、有门扇或移门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68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pacing w:val="-11"/>
                <w:sz w:val="24"/>
              </w:rPr>
              <w:t>1000-1200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高度</w:t>
            </w:r>
            <w:r>
              <w:rPr>
                <w:rFonts w:ascii="Times New Roman" w:hAnsi="Times New Roman" w:eastAsia="方正仿宋简体"/>
                <w:color w:val="auto"/>
                <w:sz w:val="24"/>
              </w:rPr>
              <w:t>2.2</w:t>
            </w:r>
            <w:r>
              <w:rPr>
                <w:rFonts w:hint="eastAsia" w:eastAsia="方正仿宋简体"/>
                <w:color w:val="auto"/>
                <w:sz w:val="24"/>
                <w:lang w:eastAsia="zh-CN"/>
              </w:rPr>
              <w:t>—</w:t>
            </w:r>
            <w:r>
              <w:rPr>
                <w:rFonts w:ascii="Times New Roman" w:hAnsi="Times New Roman" w:eastAsia="方正仿宋简体"/>
                <w:color w:val="auto"/>
                <w:sz w:val="24"/>
              </w:rPr>
              <w:t>2.8</w:t>
            </w:r>
            <w:r>
              <w:rPr>
                <w:rFonts w:hint="eastAsia" w:ascii="Times New Roman" w:hAnsi="Times New Roman" w:eastAsia="方正仿宋简体"/>
                <w:color w:val="auto"/>
                <w:sz w:val="24"/>
              </w:rPr>
              <w:t>米及以上，成品定制集成壁橱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2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浴室、茅厕</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间</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650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指室外单独建造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60"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有围防晒台</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平方米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150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22"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室外楼梯（铁）</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台阶</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80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不锈钢材质参照此项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90"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化粪池</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立方米</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400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适用企业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1"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太阳能</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3000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26"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空气能</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hint="eastAsia" w:ascii="Times New Roman" w:hAnsi="Times New Roman"/>
                <w:color w:val="auto"/>
                <w:sz w:val="24"/>
              </w:rPr>
              <w:t>3000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指迁移费用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604"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路灯</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杆</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300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指庭院或露台照明且带有灯杆等的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63"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空调移机</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台</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ascii="Times New Roman" w:hAnsi="Times New Roman"/>
                <w:color w:val="auto"/>
                <w:sz w:val="24"/>
              </w:rPr>
              <w:t>250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500"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pacing w:val="-14"/>
                <w:sz w:val="24"/>
              </w:rPr>
            </w:pPr>
            <w:r>
              <w:rPr>
                <w:rFonts w:hint="eastAsia" w:ascii="Times New Roman" w:hAnsi="Times New Roman" w:eastAsia="方正仿宋简体"/>
                <w:color w:val="auto"/>
                <w:spacing w:val="-14"/>
                <w:sz w:val="24"/>
              </w:rPr>
              <w:t>视频监控迁移费</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个</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color w:val="auto"/>
                <w:sz w:val="24"/>
              </w:rPr>
            </w:pPr>
            <w:r>
              <w:rPr>
                <w:rFonts w:hint="eastAsia" w:ascii="Times New Roman" w:hAnsi="Times New Roman"/>
                <w:color w:val="auto"/>
                <w:sz w:val="24"/>
              </w:rPr>
              <w:t>300</w:t>
            </w: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按监控探头数量计算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640"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天然气开户</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户</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以天然气公司开户相应的发票或证明材料进行补偿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108" w:type="dxa"/>
            <w:bottom w:w="11" w:type="dxa"/>
            <w:right w:w="108" w:type="dxa"/>
          </w:tblCellMar>
        </w:tblPrEx>
        <w:trPr>
          <w:trHeight w:val="485" w:hRule="exact"/>
          <w:jc w:val="center"/>
        </w:trPr>
        <w:tc>
          <w:tcPr>
            <w:tcW w:w="893" w:type="dxa"/>
            <w:vMerge w:val="continue"/>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1999"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果杂树</w:t>
            </w:r>
          </w:p>
        </w:tc>
        <w:tc>
          <w:tcPr>
            <w:tcW w:w="992"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r>
              <w:rPr>
                <w:rFonts w:hint="eastAsia" w:ascii="Times New Roman" w:hAnsi="Times New Roman" w:eastAsia="方正仿宋简体"/>
                <w:color w:val="auto"/>
                <w:sz w:val="24"/>
              </w:rPr>
              <w:t>棵</w:t>
            </w:r>
          </w:p>
        </w:tc>
        <w:tc>
          <w:tcPr>
            <w:tcW w:w="1306" w:type="dxa"/>
            <w:noWrap/>
            <w:vAlign w:val="center"/>
          </w:tcPr>
          <w:p>
            <w:pPr>
              <w:keepNext w:val="0"/>
              <w:keepLines w:val="0"/>
              <w:pageBreakBefore w:val="0"/>
              <w:widowControl w:val="0"/>
              <w:topLinePunct w:val="0"/>
              <w:bidi w:val="0"/>
              <w:spacing w:line="260" w:lineRule="exact"/>
              <w:jc w:val="center"/>
              <w:rPr>
                <w:rFonts w:ascii="Times New Roman" w:hAnsi="Times New Roman" w:eastAsia="方正仿宋简体"/>
                <w:color w:val="auto"/>
                <w:sz w:val="24"/>
              </w:rPr>
            </w:pPr>
          </w:p>
        </w:tc>
        <w:tc>
          <w:tcPr>
            <w:tcW w:w="3795" w:type="dxa"/>
            <w:noWrap/>
            <w:vAlign w:val="center"/>
          </w:tcPr>
          <w:p>
            <w:pPr>
              <w:keepNext w:val="0"/>
              <w:keepLines w:val="0"/>
              <w:pageBreakBefore w:val="0"/>
              <w:widowControl w:val="0"/>
              <w:topLinePunct w:val="0"/>
              <w:bidi w:val="0"/>
              <w:spacing w:line="260" w:lineRule="exact"/>
              <w:rPr>
                <w:rFonts w:ascii="Times New Roman" w:hAnsi="Times New Roman" w:eastAsia="方正仿宋简体"/>
                <w:color w:val="auto"/>
                <w:sz w:val="24"/>
              </w:rPr>
            </w:pPr>
            <w:r>
              <w:rPr>
                <w:rFonts w:hint="eastAsia" w:ascii="Times New Roman" w:hAnsi="Times New Roman" w:eastAsia="方正仿宋简体"/>
                <w:color w:val="auto"/>
                <w:sz w:val="24"/>
              </w:rPr>
              <w:t>按征地标准执行</w:t>
            </w:r>
          </w:p>
        </w:tc>
      </w:tr>
    </w:tbl>
    <w:p>
      <w:pPr>
        <w:keepNext w:val="0"/>
        <w:keepLines w:val="0"/>
        <w:pageBreakBefore w:val="0"/>
        <w:widowControl w:val="0"/>
        <w:kinsoku/>
        <w:wordWrap/>
        <w:overflowPunct/>
        <w:topLinePunct w:val="0"/>
        <w:autoSpaceDE/>
        <w:autoSpaceDN/>
        <w:bidi w:val="0"/>
        <w:spacing w:beforeLines="0" w:line="600" w:lineRule="exact"/>
        <w:textAlignment w:val="auto"/>
        <w:rPr>
          <w:rFonts w:hint="eastAsia" w:ascii="黑体" w:hAnsi="黑体" w:eastAsia="黑体" w:cs="黑体"/>
          <w:snapToGrid w:val="0"/>
          <w:color w:val="auto"/>
          <w:sz w:val="32"/>
          <w:szCs w:val="32"/>
          <w:lang w:val="en-US" w:eastAsia="zh-CN"/>
        </w:rPr>
      </w:pPr>
    </w:p>
    <w:p>
      <w:pPr>
        <w:keepNext w:val="0"/>
        <w:keepLines w:val="0"/>
        <w:pageBreakBefore w:val="0"/>
        <w:widowControl w:val="0"/>
        <w:kinsoku/>
        <w:wordWrap/>
        <w:overflowPunct/>
        <w:topLinePunct w:val="0"/>
        <w:autoSpaceDE/>
        <w:autoSpaceDN/>
        <w:bidi w:val="0"/>
        <w:spacing w:line="600" w:lineRule="exact"/>
        <w:jc w:val="left"/>
        <w:textAlignment w:val="auto"/>
        <w:rPr>
          <w:color w:val="auto"/>
          <w:lang w:val="en-US" w:eastAsia="zh-CN"/>
        </w:rPr>
      </w:pPr>
    </w:p>
    <w:sectPr>
      <w:pgSz w:w="11906" w:h="16838"/>
      <w:pgMar w:top="192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1219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12190" cy="1828800"/>
                      </a:xfrm>
                      <a:prstGeom prst="rect">
                        <a:avLst/>
                      </a:prstGeom>
                      <a:noFill/>
                      <a:ln>
                        <a:noFill/>
                      </a:ln>
                    </wps:spPr>
                    <wps:txbx>
                      <w:txbxContent>
                        <w:p>
                          <w:pPr>
                            <w:pStyle w:val="3"/>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79.7pt;mso-position-horizontal:outside;mso-position-horizontal-relative:margin;z-index:251659264;mso-width-relative:page;mso-height-relative:page;" filled="f" stroked="f" coordsize="21600,21600" o:gfxdata="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Dsudy1AAAAAUBAAAPAAAAAAAAAAEAIAAAACIAAABkcnMvZG93bnJldi54&#10;bWxQSwECFAAUAAAACACHTuJAl6J3hsUBAACNAwAADgAAAAAAAAABACAAAAAjAQAAZHJzL2Uyb0Rv&#10;Yy54bWxQSwUGAAAAAAYABgBZAQAAWgUAAAAA&#10;">
              <v:fill on="f" focussize="0,0"/>
              <v:stroke on="f"/>
              <v:imagedata o:title=""/>
              <o:lock v:ext="edit" aspectratio="f"/>
              <v:textbox inset="0mm,0mm,0mm,0mm" style="mso-fit-shape-to-text:t;">
                <w:txbxContent>
                  <w:p>
                    <w:pPr>
                      <w:pStyle w:val="3"/>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8902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89025" cy="1828800"/>
                      </a:xfrm>
                      <a:prstGeom prst="rect">
                        <a:avLst/>
                      </a:prstGeom>
                      <a:noFill/>
                      <a:ln w="6350">
                        <a:noFill/>
                      </a:ln>
                      <a:effectLst/>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85.75pt;mso-position-horizontal:outside;mso-position-horizontal-relative:margin;z-index:251660288;mso-width-relative:page;mso-height-relative:page;" filled="f" stroked="f" coordsize="21600,21600" o:gfxdata="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oV5P9QAAAAFAQAADwAAAAAAAAABACAAAAAi&#10;AAAAZHJzL2Rvd25yZXYueG1sUEsBAhQAFAAAAAgAh07iQHv2/zzVAQAApAMAAA4AAAAAAAAAAQAg&#10;AAAAIwEAAGRycy9lMm9Eb2MueG1sUEsFBgAAAAAGAAYAWQEAAGoFAAAAAA==&#10;">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1BEB2"/>
    <w:multiLevelType w:val="singleLevel"/>
    <w:tmpl w:val="9D91BEB2"/>
    <w:lvl w:ilvl="0" w:tentative="0">
      <w:start w:val="1"/>
      <w:numFmt w:val="chineseCounting"/>
      <w:suff w:val="nothing"/>
      <w:lvlText w:val="（%1）"/>
      <w:lvlJc w:val="left"/>
      <w:rPr>
        <w:rFonts w:hint="eastAsia"/>
      </w:rPr>
    </w:lvl>
  </w:abstractNum>
  <w:abstractNum w:abstractNumId="1">
    <w:nsid w:val="A1080A83"/>
    <w:multiLevelType w:val="singleLevel"/>
    <w:tmpl w:val="A1080A83"/>
    <w:lvl w:ilvl="0" w:tentative="0">
      <w:start w:val="4"/>
      <w:numFmt w:val="chineseCounting"/>
      <w:suff w:val="nothing"/>
      <w:lvlText w:val="（%1）"/>
      <w:lvlJc w:val="left"/>
      <w:rPr>
        <w:rFonts w:hint="eastAsia"/>
      </w:rPr>
    </w:lvl>
  </w:abstractNum>
  <w:abstractNum w:abstractNumId="2">
    <w:nsid w:val="FAB44EB9"/>
    <w:multiLevelType w:val="singleLevel"/>
    <w:tmpl w:val="FAB44EB9"/>
    <w:lvl w:ilvl="0" w:tentative="0">
      <w:start w:val="4"/>
      <w:numFmt w:val="chineseCounting"/>
      <w:suff w:val="space"/>
      <w:lvlText w:val="第%1条"/>
      <w:lvlJc w:val="left"/>
      <w:rPr>
        <w:rFonts w:hint="eastAsia"/>
      </w:rPr>
    </w:lvl>
  </w:abstractNum>
  <w:abstractNum w:abstractNumId="3">
    <w:nsid w:val="FF498476"/>
    <w:multiLevelType w:val="singleLevel"/>
    <w:tmpl w:val="FF498476"/>
    <w:lvl w:ilvl="0" w:tentative="0">
      <w:start w:val="1"/>
      <w:numFmt w:val="chineseCounting"/>
      <w:suff w:val="space"/>
      <w:lvlText w:val="第%1部分"/>
      <w:lvlJc w:val="left"/>
      <w:rPr>
        <w:rFonts w:hint="eastAsia"/>
      </w:rPr>
    </w:lvl>
  </w:abstractNum>
  <w:abstractNum w:abstractNumId="4">
    <w:nsid w:val="1C2AF275"/>
    <w:multiLevelType w:val="singleLevel"/>
    <w:tmpl w:val="1C2AF275"/>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Nzg4OTIwMTkyYmE1YWEzYzk3Y2ZiNjczNzg4OWUifQ=="/>
  </w:docVars>
  <w:rsids>
    <w:rsidRoot w:val="00000000"/>
    <w:rsid w:val="061B0C12"/>
    <w:rsid w:val="07DA07CD"/>
    <w:rsid w:val="09E43767"/>
    <w:rsid w:val="11350F6D"/>
    <w:rsid w:val="1CBF6E0B"/>
    <w:rsid w:val="2E451919"/>
    <w:rsid w:val="304E04F2"/>
    <w:rsid w:val="33FFB986"/>
    <w:rsid w:val="358D7446"/>
    <w:rsid w:val="38500133"/>
    <w:rsid w:val="3BBFFDC9"/>
    <w:rsid w:val="3BD70BE7"/>
    <w:rsid w:val="3DA376C9"/>
    <w:rsid w:val="43C76CF2"/>
    <w:rsid w:val="44575599"/>
    <w:rsid w:val="4DFB2E90"/>
    <w:rsid w:val="4E011440"/>
    <w:rsid w:val="5BD643B7"/>
    <w:rsid w:val="620B7114"/>
    <w:rsid w:val="65ED4446"/>
    <w:rsid w:val="660C18C5"/>
    <w:rsid w:val="6CC81011"/>
    <w:rsid w:val="71342B4D"/>
    <w:rsid w:val="73E47231"/>
    <w:rsid w:val="76FFF5AB"/>
    <w:rsid w:val="771D54E0"/>
    <w:rsid w:val="77B33B73"/>
    <w:rsid w:val="7EFEBE39"/>
    <w:rsid w:val="C7FF2FF6"/>
    <w:rsid w:val="CDEEFB17"/>
    <w:rsid w:val="F3F71461"/>
    <w:rsid w:val="FEE779A0"/>
    <w:rsid w:val="FEF39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99"/>
    <w:rPr>
      <w:rFonts w:ascii="Calibri" w:hAnsi="Calibri"/>
      <w:kern w:val="0"/>
      <w:sz w:val="2"/>
      <w:szCs w:val="20"/>
    </w:rPr>
  </w:style>
  <w:style w:type="paragraph" w:styleId="3">
    <w:name w:val="footer"/>
    <w:basedOn w:val="1"/>
    <w:qFormat/>
    <w:uiPriority w:val="99"/>
    <w:pPr>
      <w:tabs>
        <w:tab w:val="center" w:pos="4153"/>
        <w:tab w:val="right" w:pos="8306"/>
      </w:tabs>
      <w:snapToGrid w:val="0"/>
      <w:spacing w:line="570" w:lineRule="exact"/>
      <w:jc w:val="left"/>
    </w:pPr>
    <w:rPr>
      <w:rFonts w:eastAsia="仿宋_GB2312"/>
      <w:sz w:val="28"/>
      <w:szCs w:val="28"/>
    </w:rPr>
  </w:style>
  <w:style w:type="character" w:customStyle="1" w:styleId="6">
    <w:name w:val="NormalCharacter"/>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2023-09-26T19:21:00Z</dcterms:created>
  <dc:creator>Administrator.DESKTOP-COM2AGU</dc:creator>
  <cp:lastModifiedBy>颜思晶</cp:lastModifiedBy>
  <cp:lastPrinted>2023-12-20T19:34:00Z</cp:lastPrinted>
  <dcterms:modified xsi:type="dcterms:W3CDTF">2023-12-21T08:07:13Z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4FB7061F77534D5E9E58F4278554B04A_13</vt:lpwstr>
  </property>
</Properties>
</file>