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95A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泉州市鲤城区应急管理局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关于公布2024年度行政规范性文件清理结果的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通告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（征求意见稿）</w:t>
      </w:r>
    </w:p>
    <w:p w14:paraId="0BBAC1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</w:p>
    <w:p w14:paraId="492A587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局各股室、下属事业单位：</w:t>
      </w:r>
      <w:bookmarkStart w:id="0" w:name="_GoBack"/>
      <w:bookmarkEnd w:id="0"/>
    </w:p>
    <w:p w14:paraId="052AFFE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根据《福建省行政规范性文件备案审查办法》（省政府令219号）、《泉州市人民政府关于印发泉州市行政规范性文件管理规定的通知》（泉政规〔2022〕3号）有关规定，我局对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以泉州市鲤城区应急管理局名义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发布的现行有效行政规范性文件进行清理。现公布如下：</w:t>
      </w:r>
    </w:p>
    <w:p w14:paraId="79184D2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一、保留（继续有效）的行政规范性文件1件（详见附件1）；</w:t>
      </w:r>
    </w:p>
    <w:p w14:paraId="682CD7B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二、宣布失效（废止）的行政规范性文件0件。</w:t>
      </w:r>
    </w:p>
    <w:p w14:paraId="0F6206D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宣布失效或废止的行政规范性文件，自本通告公布之日起不再执行，不得作为行政管理依据。</w:t>
      </w:r>
    </w:p>
    <w:p w14:paraId="48D5BFA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特此通告。</w:t>
      </w:r>
    </w:p>
    <w:p w14:paraId="3313B8C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泉州市鲤城区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应急管理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局保留（继续有效）的行政规</w:t>
      </w:r>
    </w:p>
    <w:p w14:paraId="3309522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1600" w:firstLineChars="5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范性文件目录</w:t>
      </w:r>
    </w:p>
    <w:p w14:paraId="3DF3070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8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527E75E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8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412270B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泉州市鲤城区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应急管理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局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21A8E09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2025年</w:t>
      </w:r>
      <w:r>
        <w:rPr>
          <w:rFonts w:hint="eastAsia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044D584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（此件主动公开）</w:t>
      </w:r>
    </w:p>
    <w:p w14:paraId="261BA21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both"/>
        <w:textAlignment w:val="auto"/>
        <w:rPr>
          <w:rFonts w:hint="eastAsia" w:ascii="黑体" w:eastAsia="黑体"/>
          <w:color w:val="auto"/>
          <w:sz w:val="32"/>
          <w:szCs w:val="32"/>
        </w:rPr>
      </w:pPr>
    </w:p>
    <w:p w14:paraId="454AF64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both"/>
        <w:textAlignment w:val="auto"/>
        <w:rPr>
          <w:rFonts w:hint="eastAsia" w:asci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</w:p>
    <w:p w14:paraId="1BA19EFF">
      <w:pPr>
        <w:spacing w:line="590" w:lineRule="exact"/>
        <w:ind w:right="108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759BE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8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泉州市鲤城区应急管理局</w:t>
      </w:r>
    </w:p>
    <w:p w14:paraId="19789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8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保留（继续有效）的行政规范性文件目录</w:t>
      </w:r>
    </w:p>
    <w:p w14:paraId="26240B79">
      <w:pPr>
        <w:spacing w:before="156" w:beforeLines="50" w:line="590" w:lineRule="exact"/>
        <w:rPr>
          <w:rFonts w:hint="eastAsia" w:ascii="黑体" w:eastAsia="黑体"/>
          <w:color w:val="auto"/>
          <w:sz w:val="32"/>
          <w:szCs w:val="32"/>
        </w:rPr>
      </w:pPr>
    </w:p>
    <w:tbl>
      <w:tblPr>
        <w:tblStyle w:val="3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4465"/>
        <w:gridCol w:w="1832"/>
        <w:gridCol w:w="1925"/>
      </w:tblGrid>
      <w:tr w14:paraId="5FB2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tblHeader/>
          <w:jc w:val="center"/>
        </w:trPr>
        <w:tc>
          <w:tcPr>
            <w:tcW w:w="875" w:type="dxa"/>
            <w:noWrap w:val="0"/>
            <w:vAlign w:val="center"/>
          </w:tcPr>
          <w:p w14:paraId="69B083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4465" w:type="dxa"/>
            <w:noWrap w:val="0"/>
            <w:vAlign w:val="center"/>
          </w:tcPr>
          <w:p w14:paraId="0B3C04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规范性文件名称</w:t>
            </w:r>
          </w:p>
        </w:tc>
        <w:tc>
          <w:tcPr>
            <w:tcW w:w="1832" w:type="dxa"/>
            <w:noWrap w:val="0"/>
            <w:vAlign w:val="center"/>
          </w:tcPr>
          <w:p w14:paraId="6A32A0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文号</w:t>
            </w:r>
          </w:p>
        </w:tc>
        <w:tc>
          <w:tcPr>
            <w:tcW w:w="1925" w:type="dxa"/>
            <w:noWrap w:val="0"/>
            <w:vAlign w:val="center"/>
          </w:tcPr>
          <w:p w14:paraId="6C3EDB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发布时间</w:t>
            </w:r>
          </w:p>
        </w:tc>
      </w:tr>
      <w:tr w14:paraId="7F00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  <w:jc w:val="center"/>
        </w:trPr>
        <w:tc>
          <w:tcPr>
            <w:tcW w:w="875" w:type="dxa"/>
            <w:noWrap w:val="0"/>
            <w:vAlign w:val="center"/>
          </w:tcPr>
          <w:p w14:paraId="3D227D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4465" w:type="dxa"/>
            <w:noWrap w:val="0"/>
            <w:vAlign w:val="center"/>
          </w:tcPr>
          <w:p w14:paraId="76F1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鲤城区应急管理局 鲤城区财政局关于印发《鲤城区安全生产领域举报奖励规定》的通知</w:t>
            </w:r>
          </w:p>
        </w:tc>
        <w:tc>
          <w:tcPr>
            <w:tcW w:w="1832" w:type="dxa"/>
            <w:noWrap w:val="0"/>
            <w:vAlign w:val="center"/>
          </w:tcPr>
          <w:p w14:paraId="7E7FF3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泉鲤应急〔2021〕2号</w:t>
            </w:r>
          </w:p>
        </w:tc>
        <w:tc>
          <w:tcPr>
            <w:tcW w:w="1925" w:type="dxa"/>
            <w:noWrap w:val="0"/>
            <w:vAlign w:val="center"/>
          </w:tcPr>
          <w:p w14:paraId="1AC2A5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2021年1月22日</w:t>
            </w:r>
          </w:p>
        </w:tc>
      </w:tr>
    </w:tbl>
    <w:p w14:paraId="489A80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</w:p>
    <w:p w14:paraId="03D7B24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55234"/>
    <w:rsid w:val="38B5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2025-01-16T06:37:00Z</dcterms:created>
  <dc:creator>丑南</dc:creator>
  <cp:lastModifiedBy>丑南</cp:lastModifiedBy>
  <dcterms:modified xsi:type="dcterms:W3CDTF">2025-01-16T06:38:59Z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20CDE59500BC4A099E633BA8DADC9FF7_11</vt:lpwstr>
  </property>
  <property fmtid="{D5CDD505-2E9C-101B-9397-08002B2CF9AE}" pid="4" name="KSOTemplateDocerSaveRecord">
    <vt:lpwstr>eyJoZGlkIjoiMTg2ZDcyYzEzZjQwMDY3OTk2Y2VhZTU4Y2JlODM4OGMiLCJ1c2VySWQiOiI4MjIzMTcyODUifQ==</vt:lpwstr>
  </property>
</Properties>
</file>