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Autospacing="1"/>
        <w:jc w:val="center"/>
        <w:rPr>
          <w:rFonts w:hint="eastAsia" w:ascii="黑体" w:hAnsi="Arial" w:eastAsia="黑体" w:cs="Arial"/>
          <w:color w:val="000000"/>
          <w:sz w:val="36"/>
          <w:szCs w:val="36"/>
          <w:shd w:val="clear" w:color="auto" w:fill="FFFFFF"/>
          <w:lang w:eastAsia="zh-CN"/>
        </w:rPr>
      </w:pPr>
      <w:r>
        <w:rPr>
          <w:rFonts w:hint="eastAsia" w:ascii="黑体" w:eastAsia="黑体" w:cs="黑体"/>
          <w:color w:val="000000"/>
          <w:sz w:val="36"/>
          <w:szCs w:val="36"/>
          <w:shd w:val="clear" w:color="auto" w:fill="FFFFFF"/>
          <w:lang w:eastAsia="zh-CN"/>
        </w:rPr>
        <w:t>区财政局关于</w:t>
      </w:r>
      <w:r>
        <w:rPr>
          <w:rFonts w:hint="eastAsia" w:ascii="黑体" w:eastAsia="黑体" w:cs="黑体"/>
          <w:color w:val="000000"/>
          <w:sz w:val="36"/>
          <w:szCs w:val="36"/>
          <w:shd w:val="clear" w:color="auto" w:fill="FFFFFF"/>
          <w:lang w:val="en-US" w:eastAsia="zh-CN"/>
        </w:rPr>
        <w:t>2023年</w:t>
      </w:r>
      <w:r>
        <w:rPr>
          <w:rFonts w:ascii="黑体" w:eastAsia="黑体" w:cs="黑体"/>
          <w:color w:val="000000"/>
          <w:sz w:val="36"/>
          <w:szCs w:val="36"/>
          <w:shd w:val="clear" w:color="auto" w:fill="FFFFFF"/>
        </w:rPr>
        <w:t>“三公”经费支出</w:t>
      </w:r>
      <w:r>
        <w:rPr>
          <w:rFonts w:hint="eastAsia" w:ascii="黑体" w:eastAsia="黑体" w:cs="黑体"/>
          <w:color w:val="000000"/>
          <w:sz w:val="36"/>
          <w:szCs w:val="36"/>
          <w:shd w:val="clear" w:color="auto" w:fill="FFFFFF"/>
          <w:lang w:eastAsia="zh-CN"/>
        </w:rPr>
        <w:t>情况</w:t>
      </w:r>
      <w:bookmarkStart w:id="0" w:name="_GoBack"/>
      <w:bookmarkEnd w:id="0"/>
    </w:p>
    <w:tbl>
      <w:tblPr>
        <w:tblStyle w:val="2"/>
        <w:tblW w:w="8375" w:type="dxa"/>
        <w:jc w:val="center"/>
        <w:tblLayout w:type="fixed"/>
        <w:tblCellMar>
          <w:top w:w="0" w:type="dxa"/>
          <w:left w:w="108" w:type="dxa"/>
          <w:bottom w:w="0" w:type="dxa"/>
          <w:right w:w="108" w:type="dxa"/>
        </w:tblCellMar>
      </w:tblPr>
      <w:tblGrid>
        <w:gridCol w:w="4180"/>
        <w:gridCol w:w="780"/>
        <w:gridCol w:w="3415"/>
      </w:tblGrid>
      <w:tr>
        <w:tblPrEx>
          <w:tblCellMar>
            <w:top w:w="0" w:type="dxa"/>
            <w:left w:w="108" w:type="dxa"/>
            <w:bottom w:w="0" w:type="dxa"/>
            <w:right w:w="108" w:type="dxa"/>
          </w:tblCellMar>
        </w:tblPrEx>
        <w:trPr>
          <w:trHeight w:val="375" w:hRule="atLeast"/>
          <w:jc w:val="center"/>
        </w:trPr>
        <w:tc>
          <w:tcPr>
            <w:tcW w:w="4180" w:type="dxa"/>
            <w:tcBorders>
              <w:top w:val="nil"/>
              <w:left w:val="nil"/>
              <w:bottom w:val="nil"/>
              <w:right w:val="nil"/>
            </w:tcBorders>
            <w:shd w:val="clear" w:color="auto" w:fill="auto"/>
            <w:noWrap/>
            <w:vAlign w:val="center"/>
          </w:tcPr>
          <w:p>
            <w:pPr>
              <w:spacing w:beforeAutospacing="1" w:afterAutospacing="1"/>
              <w:rPr>
                <w:rFonts w:cs="Arial"/>
                <w:color w:val="000000"/>
                <w:sz w:val="24"/>
                <w:szCs w:val="24"/>
              </w:rPr>
            </w:pPr>
          </w:p>
        </w:tc>
        <w:tc>
          <w:tcPr>
            <w:tcW w:w="780" w:type="dxa"/>
            <w:tcBorders>
              <w:top w:val="nil"/>
              <w:left w:val="nil"/>
              <w:bottom w:val="nil"/>
              <w:right w:val="nil"/>
            </w:tcBorders>
            <w:shd w:val="clear" w:color="auto" w:fill="auto"/>
            <w:noWrap/>
            <w:vAlign w:val="center"/>
          </w:tcPr>
          <w:p>
            <w:pPr>
              <w:rPr>
                <w:rFonts w:hint="default"/>
              </w:rPr>
            </w:pPr>
          </w:p>
        </w:tc>
        <w:tc>
          <w:tcPr>
            <w:tcW w:w="3415" w:type="dxa"/>
            <w:tcBorders>
              <w:top w:val="nil"/>
              <w:left w:val="nil"/>
              <w:bottom w:val="nil"/>
              <w:right w:val="nil"/>
            </w:tcBorders>
            <w:shd w:val="clear" w:color="auto" w:fill="auto"/>
            <w:noWrap/>
            <w:vAlign w:val="center"/>
          </w:tcPr>
          <w:p>
            <w:pPr>
              <w:spacing w:beforeAutospacing="1" w:afterAutospacing="1"/>
              <w:jc w:val="right"/>
              <w:rPr>
                <w:rFonts w:hint="default" w:eastAsia="宋体" w:cs="宋体"/>
                <w:lang w:val="en-US" w:eastAsia="zh-CN"/>
              </w:rPr>
            </w:pPr>
            <w:r>
              <w:rPr>
                <w:rFonts w:hint="eastAsia" w:cs="宋体"/>
                <w:lang w:eastAsia="zh-CN"/>
              </w:rPr>
              <w:t>公开</w:t>
            </w:r>
            <w:r>
              <w:rPr>
                <w:rFonts w:hint="eastAsia" w:cs="宋体"/>
                <w:lang w:val="en-US" w:eastAsia="zh-CN"/>
              </w:rPr>
              <w:t>07表</w:t>
            </w:r>
          </w:p>
        </w:tc>
      </w:tr>
      <w:tr>
        <w:tblPrEx>
          <w:tblCellMar>
            <w:top w:w="0" w:type="dxa"/>
            <w:left w:w="108" w:type="dxa"/>
            <w:bottom w:w="0" w:type="dxa"/>
            <w:right w:w="108" w:type="dxa"/>
          </w:tblCellMar>
        </w:tblPrEx>
        <w:trPr>
          <w:trHeight w:val="375" w:hRule="atLeast"/>
          <w:jc w:val="center"/>
        </w:trPr>
        <w:tc>
          <w:tcPr>
            <w:tcW w:w="4180" w:type="dxa"/>
            <w:tcBorders>
              <w:top w:val="nil"/>
              <w:left w:val="nil"/>
              <w:bottom w:val="nil"/>
              <w:right w:val="nil"/>
            </w:tcBorders>
            <w:shd w:val="clear" w:color="auto" w:fill="auto"/>
            <w:noWrap/>
            <w:vAlign w:val="center"/>
          </w:tcPr>
          <w:p>
            <w:pPr>
              <w:spacing w:beforeAutospacing="1" w:afterAutospacing="1"/>
              <w:rPr>
                <w:rFonts w:hint="default"/>
                <w:color w:val="000000"/>
                <w:sz w:val="22"/>
                <w:szCs w:val="22"/>
              </w:rPr>
            </w:pPr>
            <w:r>
              <w:rPr>
                <w:rFonts w:cs="Arial"/>
                <w:color w:val="000000"/>
                <w:sz w:val="24"/>
                <w:szCs w:val="24"/>
              </w:rPr>
              <w:t>部门：鲤城区财政局</w:t>
            </w:r>
          </w:p>
        </w:tc>
        <w:tc>
          <w:tcPr>
            <w:tcW w:w="780" w:type="dxa"/>
            <w:tcBorders>
              <w:top w:val="nil"/>
              <w:left w:val="nil"/>
              <w:bottom w:val="nil"/>
              <w:right w:val="nil"/>
            </w:tcBorders>
            <w:shd w:val="clear" w:color="auto" w:fill="auto"/>
            <w:noWrap/>
            <w:vAlign w:val="center"/>
          </w:tcPr>
          <w:p>
            <w:pPr>
              <w:rPr>
                <w:rFonts w:hint="default"/>
              </w:rPr>
            </w:pPr>
          </w:p>
        </w:tc>
        <w:tc>
          <w:tcPr>
            <w:tcW w:w="3415" w:type="dxa"/>
            <w:tcBorders>
              <w:top w:val="nil"/>
              <w:left w:val="nil"/>
              <w:bottom w:val="nil"/>
              <w:right w:val="nil"/>
            </w:tcBorders>
            <w:shd w:val="clear" w:color="auto" w:fill="auto"/>
            <w:noWrap/>
            <w:vAlign w:val="center"/>
          </w:tcPr>
          <w:p>
            <w:pPr>
              <w:spacing w:beforeAutospacing="1" w:afterAutospacing="1"/>
              <w:jc w:val="right"/>
              <w:rPr>
                <w:rFonts w:hint="default"/>
                <w:color w:val="000000"/>
                <w:sz w:val="22"/>
                <w:szCs w:val="22"/>
              </w:rPr>
            </w:pPr>
            <w:r>
              <w:rPr>
                <w:rFonts w:cs="宋体"/>
              </w:rPr>
              <w:t>单位：万元</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项目</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行次</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决算数</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合计</w:t>
            </w:r>
          </w:p>
        </w:tc>
        <w:tc>
          <w:tcPr>
            <w:tcW w:w="780" w:type="dxa"/>
            <w:tcBorders>
              <w:top w:val="nil"/>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1</w:t>
            </w:r>
          </w:p>
        </w:tc>
        <w:tc>
          <w:tcPr>
            <w:tcW w:w="3415" w:type="dxa"/>
            <w:tcBorders>
              <w:top w:val="nil"/>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5.87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hint="default"/>
                <w:color w:val="000000"/>
              </w:rPr>
            </w:pPr>
            <w:r>
              <w:rPr>
                <w:rFonts w:cs="宋体"/>
                <w:color w:val="000000"/>
              </w:rPr>
              <w:t>1. 因公出国（境）费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2</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hint="default"/>
                <w:color w:val="000000"/>
              </w:rPr>
            </w:pPr>
            <w:r>
              <w:rPr>
                <w:rFonts w:cs="宋体"/>
                <w:color w:val="000000"/>
              </w:rPr>
              <w:t>2. 公务用车购置及运行维护费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3</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hint="default"/>
                <w:color w:val="000000"/>
              </w:rPr>
            </w:pPr>
            <w:r>
              <w:rPr>
                <w:rFonts w:cs="宋体"/>
                <w:color w:val="000000"/>
              </w:rPr>
              <w:t xml:space="preserve">    其中：（1）公务用车购置费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4</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hint="default"/>
                <w:color w:val="000000"/>
              </w:rPr>
            </w:pPr>
            <w:r>
              <w:rPr>
                <w:rFonts w:cs="宋体"/>
                <w:color w:val="000000"/>
              </w:rPr>
              <w:t xml:space="preserve">          （2）公务用车运行维护费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5</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2.12 </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hint="default"/>
                <w:color w:val="000000"/>
              </w:rPr>
            </w:pPr>
            <w:r>
              <w:rPr>
                <w:rFonts w:cs="宋体"/>
                <w:color w:val="000000"/>
              </w:rPr>
              <w:t>3. 公务接待费</w:t>
            </w:r>
          </w:p>
        </w:tc>
        <w:tc>
          <w:tcPr>
            <w:tcW w:w="780" w:type="dxa"/>
            <w:tcBorders>
              <w:top w:val="nil"/>
              <w:left w:val="nil"/>
              <w:bottom w:val="single" w:color="auto" w:sz="4" w:space="0"/>
              <w:right w:val="single" w:color="auto" w:sz="4" w:space="0"/>
            </w:tcBorders>
            <w:shd w:val="clear" w:color="auto" w:fill="auto"/>
            <w:noWrap/>
            <w:vAlign w:val="center"/>
          </w:tcPr>
          <w:p>
            <w:pPr>
              <w:spacing w:beforeAutospacing="1" w:afterAutospacing="1"/>
              <w:jc w:val="center"/>
              <w:rPr>
                <w:rFonts w:hint="default"/>
                <w:color w:val="000000"/>
              </w:rPr>
            </w:pPr>
            <w:r>
              <w:rPr>
                <w:rFonts w:cs="宋体"/>
                <w:color w:val="000000"/>
              </w:rPr>
              <w:t>6</w:t>
            </w:r>
          </w:p>
        </w:tc>
        <w:tc>
          <w:tcPr>
            <w:tcW w:w="3415" w:type="dxa"/>
            <w:tcBorders>
              <w:top w:val="nil"/>
              <w:left w:val="nil"/>
              <w:bottom w:val="single" w:color="auto" w:sz="4" w:space="0"/>
              <w:right w:val="single" w:color="auto" w:sz="4" w:space="0"/>
            </w:tcBorders>
            <w:shd w:val="clear" w:color="auto" w:fill="auto"/>
            <w:noWrap/>
            <w:vAlign w:val="center"/>
          </w:tcPr>
          <w:p>
            <w:pPr>
              <w:spacing w:beforeAutospacing="1" w:afterAutospacing="1"/>
              <w:jc w:val="right"/>
              <w:rPr>
                <w:rFonts w:hint="default"/>
                <w:color w:val="000000"/>
                <w:sz w:val="22"/>
                <w:szCs w:val="22"/>
              </w:rPr>
            </w:pPr>
            <w:r>
              <w:rPr>
                <w:rFonts w:cs="宋体"/>
                <w:color w:val="000000"/>
                <w:sz w:val="22"/>
                <w:szCs w:val="22"/>
              </w:rPr>
              <w:t xml:space="preserve">3.75 </w:t>
            </w:r>
          </w:p>
        </w:tc>
      </w:tr>
      <w:tr>
        <w:tblPrEx>
          <w:tblCellMar>
            <w:top w:w="0" w:type="dxa"/>
            <w:left w:w="108" w:type="dxa"/>
            <w:bottom w:w="0" w:type="dxa"/>
            <w:right w:w="108" w:type="dxa"/>
          </w:tblCellMar>
        </w:tblPrEx>
        <w:trPr>
          <w:trHeight w:val="495" w:hRule="atLeast"/>
          <w:jc w:val="center"/>
        </w:trPr>
        <w:tc>
          <w:tcPr>
            <w:tcW w:w="8375" w:type="dxa"/>
            <w:gridSpan w:val="3"/>
            <w:tcBorders>
              <w:top w:val="single" w:color="auto" w:sz="4" w:space="0"/>
              <w:left w:val="nil"/>
              <w:bottom w:val="nil"/>
              <w:right w:val="nil"/>
            </w:tcBorders>
            <w:shd w:val="clear" w:color="auto" w:fill="auto"/>
            <w:vAlign w:val="center"/>
          </w:tcPr>
          <w:p>
            <w:pPr>
              <w:spacing w:beforeAutospacing="1" w:afterAutospacing="1"/>
              <w:rPr>
                <w:rFonts w:hint="default"/>
              </w:rPr>
            </w:pPr>
            <w:r>
              <w:rPr>
                <w:rFonts w:cs="宋体"/>
              </w:rPr>
              <w:t>注：本表反映部门本年度“三公”经费支出决算情况，包括当年一般公共预算财政拨款和以前年度结转资金安排的实际支出。</w:t>
            </w:r>
          </w:p>
        </w:tc>
      </w:tr>
    </w:tbl>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mYmMwNWIzNWU1MWM5MDQ3MDk1ODY0MDE3MTA5MWEifQ=="/>
  </w:docVars>
  <w:rsids>
    <w:rsidRoot w:val="0020018F"/>
    <w:rsid w:val="0020018F"/>
    <w:rsid w:val="006E1888"/>
    <w:rsid w:val="007175B8"/>
    <w:rsid w:val="0078738C"/>
    <w:rsid w:val="0081600D"/>
    <w:rsid w:val="00BD3277"/>
    <w:rsid w:val="00E10C9C"/>
    <w:rsid w:val="00ED40DF"/>
    <w:rsid w:val="3AD36896"/>
    <w:rsid w:val="4E905883"/>
    <w:rsid w:val="670F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rPr>
      <w:rFonts w:hint="eastAsia" w:ascii="宋体" w:hAnsi="宋体" w:eastAsia="宋体" w:cs="Times New Roman"/>
      <w:kern w:val="0"/>
      <w:sz w:val="24"/>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Words>
  <Characters>211</Characters>
  <Lines>1</Lines>
  <Paragraphs>1</Paragraphs>
  <TotalTime>6</TotalTime>
  <ScaleCrop>false</ScaleCrop>
  <LinksUpToDate>false</LinksUpToDate>
  <CharactersWithSpaces>246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2023-03-30T08:18:00Z</dcterms:created>
  <dc:creator>Administrator</dc:creator>
  <cp:lastModifiedBy>Administrator</cp:lastModifiedBy>
  <cp:lastPrinted>2024-03-11T01:27:00Z</cp:lastPrinted>
  <dcterms:modified xsi:type="dcterms:W3CDTF">2024-03-12T00:29:12Z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CBBE2342F149452C967AF133E97763AA_12</vt:lpwstr>
  </property>
</Properties>
</file>