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b w:val="0"/>
        </w:rPr>
      </w:pPr>
      <w:r>
        <w:rPr>
          <w:rFonts w:hint="eastAsia" w:ascii="宋体" w:hAnsi="宋体" w:cs="宋体"/>
          <w:b w:val="0"/>
          <w:szCs w:val="32"/>
        </w:rPr>
        <w:t>表七：</w:t>
      </w:r>
      <w:bookmarkStart w:id="0" w:name="_GoBack"/>
      <w:r>
        <w:rPr>
          <w:rFonts w:hint="eastAsia" w:ascii="宋体" w:hAnsi="宋体" w:cs="宋体"/>
          <w:b w:val="0"/>
          <w:szCs w:val="32"/>
        </w:rPr>
        <w:t>公共服务</w:t>
      </w:r>
      <w:bookmarkEnd w:id="0"/>
      <w:r>
        <w:rPr>
          <w:rFonts w:hint="eastAsia" w:ascii="宋体" w:hAnsi="宋体" w:cs="宋体"/>
          <w:b w:val="0"/>
          <w:szCs w:val="32"/>
        </w:rPr>
        <w:t>（共1项）</w:t>
      </w:r>
    </w:p>
    <w:tbl>
      <w:tblPr>
        <w:tblStyle w:val="3"/>
        <w:tblW w:w="0" w:type="auto"/>
        <w:jc w:val="center"/>
        <w:tblLayout w:type="fixed"/>
        <w:tblCellMar>
          <w:top w:w="0" w:type="dxa"/>
          <w:left w:w="0" w:type="dxa"/>
          <w:bottom w:w="0" w:type="dxa"/>
          <w:right w:w="0" w:type="dxa"/>
        </w:tblCellMar>
      </w:tblPr>
      <w:tblGrid>
        <w:gridCol w:w="584"/>
        <w:gridCol w:w="1644"/>
        <w:gridCol w:w="1434"/>
        <w:gridCol w:w="7937"/>
        <w:gridCol w:w="624"/>
        <w:gridCol w:w="1168"/>
        <w:gridCol w:w="924"/>
        <w:gridCol w:w="1168"/>
      </w:tblGrid>
      <w:tr>
        <w:tblPrEx>
          <w:tblCellMar>
            <w:top w:w="0" w:type="dxa"/>
            <w:left w:w="0" w:type="dxa"/>
            <w:bottom w:w="0" w:type="dxa"/>
            <w:right w:w="0" w:type="dxa"/>
          </w:tblCellMar>
        </w:tblPrEx>
        <w:trPr>
          <w:trHeight w:val="815" w:hRule="atLeast"/>
          <w:tblHeader/>
          <w:jc w:val="center"/>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事项编码</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权责事项</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子项名称</w:t>
            </w:r>
          </w:p>
        </w:tc>
        <w:tc>
          <w:tcPr>
            <w:tcW w:w="7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设定依据</w:t>
            </w: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事项类型</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内设机构或责任单位</w:t>
            </w: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行使层级</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备注</w:t>
            </w:r>
          </w:p>
        </w:tc>
      </w:tr>
      <w:tr>
        <w:tblPrEx>
          <w:tblCellMar>
            <w:top w:w="0" w:type="dxa"/>
            <w:left w:w="0" w:type="dxa"/>
            <w:bottom w:w="0" w:type="dxa"/>
            <w:right w:w="0" w:type="dxa"/>
          </w:tblCellMar>
        </w:tblPrEx>
        <w:trPr>
          <w:trHeight w:val="691" w:hRule="atLeast"/>
          <w:jc w:val="center"/>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1 </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环境影响后评价备案</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7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sz w:val="20"/>
                <w:szCs w:val="20"/>
              </w:rPr>
            </w:pPr>
            <w:r>
              <w:rPr>
                <w:rFonts w:ascii="Times New Roman" w:hAnsi="Times New Roman"/>
                <w:kern w:val="0"/>
                <w:sz w:val="20"/>
                <w:szCs w:val="20"/>
                <w:lang w:bidi="ar"/>
              </w:rPr>
              <w:t xml:space="preserve">    1.</w:t>
            </w:r>
            <w:r>
              <w:rPr>
                <w:rFonts w:hint="eastAsia" w:ascii="宋体" w:hAnsi="宋体" w:cs="宋体"/>
                <w:kern w:val="0"/>
                <w:sz w:val="20"/>
                <w:szCs w:val="20"/>
                <w:lang w:bidi="ar"/>
              </w:rPr>
              <w:t>《中华人民共和国环境影响评价法》</w:t>
            </w:r>
            <w:r>
              <w:rPr>
                <w:rStyle w:val="5"/>
                <w:rFonts w:hint="default"/>
                <w:color w:val="auto"/>
                <w:lang w:bidi="ar"/>
              </w:rPr>
              <w:t>（2018年修订）</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w:t>
            </w:r>
            <w:r>
              <w:rPr>
                <w:rFonts w:hint="eastAsia" w:ascii="宋体" w:hAnsi="宋体" w:cs="宋体"/>
                <w:kern w:val="0"/>
                <w:sz w:val="20"/>
                <w:szCs w:val="20"/>
                <w:lang w:bidi="ar"/>
              </w:rPr>
              <w:t>第二十七条</w:t>
            </w:r>
            <w:r>
              <w:rPr>
                <w:rFonts w:ascii="Times New Roman" w:hAnsi="Times New Roman"/>
                <w:kern w:val="0"/>
                <w:sz w:val="20"/>
                <w:szCs w:val="20"/>
                <w:lang w:bidi="ar"/>
              </w:rPr>
              <w:t xml:space="preserve">  </w:t>
            </w:r>
            <w:r>
              <w:rPr>
                <w:rFonts w:hint="eastAsia" w:ascii="宋体" w:hAnsi="宋体" w:cs="宋体"/>
                <w:kern w:val="0"/>
                <w:sz w:val="20"/>
                <w:szCs w:val="20"/>
                <w:lang w:bidi="ar"/>
              </w:rPr>
              <w:t>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2.</w:t>
            </w:r>
            <w:r>
              <w:rPr>
                <w:rFonts w:hint="eastAsia" w:ascii="宋体" w:hAnsi="宋体" w:cs="宋体"/>
                <w:kern w:val="0"/>
                <w:sz w:val="20"/>
                <w:szCs w:val="20"/>
                <w:lang w:bidi="ar"/>
              </w:rPr>
              <w:t>《建设项目环境影响后评价管理办法（试行）》（环保部令第</w:t>
            </w:r>
            <w:r>
              <w:rPr>
                <w:rFonts w:ascii="Times New Roman" w:hAnsi="Times New Roman"/>
                <w:kern w:val="0"/>
                <w:sz w:val="20"/>
                <w:szCs w:val="20"/>
                <w:lang w:bidi="ar"/>
              </w:rPr>
              <w:t>37</w:t>
            </w:r>
            <w:r>
              <w:rPr>
                <w:rFonts w:hint="eastAsia" w:ascii="宋体" w:hAnsi="宋体" w:cs="宋体"/>
                <w:kern w:val="0"/>
                <w:sz w:val="20"/>
                <w:szCs w:val="20"/>
                <w:lang w:bidi="ar"/>
              </w:rPr>
              <w:t>号）</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w:t>
            </w:r>
            <w:r>
              <w:rPr>
                <w:rFonts w:hint="eastAsia" w:ascii="宋体" w:hAnsi="宋体" w:cs="宋体"/>
                <w:kern w:val="0"/>
                <w:sz w:val="20"/>
                <w:szCs w:val="20"/>
                <w:lang w:bidi="ar"/>
              </w:rPr>
              <w:t>第六条</w:t>
            </w:r>
            <w:r>
              <w:rPr>
                <w:rFonts w:ascii="Times New Roman" w:hAnsi="Times New Roman"/>
                <w:kern w:val="0"/>
                <w:sz w:val="20"/>
                <w:szCs w:val="20"/>
                <w:lang w:bidi="ar"/>
              </w:rPr>
              <w:t xml:space="preserve">  </w:t>
            </w:r>
            <w:r>
              <w:rPr>
                <w:rFonts w:hint="eastAsia" w:ascii="宋体" w:hAnsi="宋体" w:cs="宋体"/>
                <w:kern w:val="0"/>
                <w:sz w:val="20"/>
                <w:szCs w:val="20"/>
                <w:lang w:bidi="ar"/>
              </w:rPr>
              <w:t>建设单位或者生产经营单位负责组织开展环境影响后评价工作，编制环境影响后评价文件，并对环境影响后评价结论负责。</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w:t>
            </w:r>
            <w:r>
              <w:rPr>
                <w:rFonts w:hint="eastAsia" w:ascii="宋体" w:hAnsi="宋体" w:cs="宋体"/>
                <w:kern w:val="0"/>
                <w:sz w:val="20"/>
                <w:szCs w:val="20"/>
                <w:lang w:bidi="ar"/>
              </w:rPr>
              <w:t>建设单位或者生产经营单位可以委托环境影响评价机构、工程设计单位、大专院校和相关评估机构等编制环境影响后评价文件。编制建设项目环境影响报告书的环境影响评价机构，原则上不得承担该建设项目环境影响后评价文件的编制工作。</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w:t>
            </w:r>
            <w:r>
              <w:rPr>
                <w:rFonts w:hint="eastAsia" w:ascii="宋体" w:hAnsi="宋体" w:cs="宋体"/>
                <w:kern w:val="0"/>
                <w:sz w:val="20"/>
                <w:szCs w:val="20"/>
                <w:lang w:bidi="ar"/>
              </w:rPr>
              <w:t>建设单位或者生产经营单位应当将环境影响后评价文件报原审批环境影响报告书的环境保护主管部门</w:t>
            </w:r>
            <w:r>
              <w:rPr>
                <w:rFonts w:hint="eastAsia" w:ascii="宋体" w:hAnsi="宋体" w:cs="宋体"/>
                <w:kern w:val="0"/>
                <w:sz w:val="20"/>
                <w:szCs w:val="20"/>
                <w:u w:val="single"/>
                <w:lang w:bidi="ar"/>
              </w:rPr>
              <w:t>备案</w:t>
            </w:r>
            <w:r>
              <w:rPr>
                <w:rFonts w:hint="eastAsia" w:ascii="宋体" w:hAnsi="宋体" w:cs="宋体"/>
                <w:kern w:val="0"/>
                <w:sz w:val="20"/>
                <w:szCs w:val="20"/>
                <w:lang w:bidi="ar"/>
              </w:rPr>
              <w:t>，并接受环境保护主管部门的</w:t>
            </w:r>
            <w:r>
              <w:rPr>
                <w:rFonts w:hint="eastAsia" w:ascii="宋体" w:hAnsi="宋体" w:cs="宋体"/>
                <w:kern w:val="0"/>
                <w:sz w:val="20"/>
                <w:szCs w:val="20"/>
                <w:u w:val="single"/>
                <w:lang w:bidi="ar"/>
              </w:rPr>
              <w:t>监督检查。</w:t>
            </w:r>
            <w:r>
              <w:rPr>
                <w:rFonts w:ascii="Times New Roman" w:hAnsi="Times New Roman"/>
                <w:kern w:val="0"/>
                <w:sz w:val="20"/>
                <w:szCs w:val="20"/>
                <w:lang w:bidi="ar"/>
              </w:rPr>
              <w:t xml:space="preserve"> </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3.</w:t>
            </w:r>
            <w:r>
              <w:rPr>
                <w:rFonts w:hint="eastAsia" w:ascii="宋体" w:hAnsi="宋体" w:cs="宋体"/>
                <w:kern w:val="0"/>
                <w:sz w:val="20"/>
                <w:szCs w:val="20"/>
                <w:lang w:bidi="ar"/>
              </w:rPr>
              <w:t>《防治海洋工程建设项目污染损害海洋环境管理条例》（2018年修订）</w:t>
            </w:r>
            <w:r>
              <w:rPr>
                <w:rFonts w:ascii="Times New Roman" w:hAnsi="Times New Roman"/>
                <w:kern w:val="0"/>
                <w:sz w:val="20"/>
                <w:szCs w:val="20"/>
                <w:lang w:bidi="ar"/>
              </w:rPr>
              <w:br w:type="textWrapping"/>
            </w:r>
            <w:r>
              <w:rPr>
                <w:rFonts w:ascii="Times New Roman" w:hAnsi="Times New Roman"/>
                <w:kern w:val="0"/>
                <w:sz w:val="20"/>
                <w:szCs w:val="20"/>
                <w:lang w:bidi="ar"/>
              </w:rPr>
              <w:t xml:space="preserve">    </w:t>
            </w:r>
            <w:r>
              <w:rPr>
                <w:rFonts w:hint="eastAsia" w:ascii="宋体" w:hAnsi="宋体" w:cs="宋体"/>
                <w:kern w:val="0"/>
                <w:sz w:val="20"/>
                <w:szCs w:val="20"/>
                <w:lang w:bidi="ar"/>
              </w:rPr>
              <w:t>第十九条</w:t>
            </w:r>
            <w:r>
              <w:rPr>
                <w:rFonts w:ascii="Times New Roman" w:hAnsi="Times New Roman"/>
                <w:kern w:val="0"/>
                <w:sz w:val="20"/>
                <w:szCs w:val="20"/>
                <w:lang w:bidi="ar"/>
              </w:rPr>
              <w:t xml:space="preserve">  </w:t>
            </w:r>
            <w:r>
              <w:rPr>
                <w:rFonts w:hint="eastAsia" w:ascii="宋体" w:hAnsi="宋体" w:cs="宋体"/>
                <w:kern w:val="0"/>
                <w:sz w:val="20"/>
                <w:szCs w:val="20"/>
                <w:lang w:bidi="ar"/>
              </w:rPr>
              <w:t>海洋工程在建设、运行过程中产生不符合经核准的环境影响报告书的情形的，建设单位应当自该情形出现之日起</w:t>
            </w:r>
            <w:r>
              <w:rPr>
                <w:rFonts w:ascii="Times New Roman" w:hAnsi="Times New Roman"/>
                <w:kern w:val="0"/>
                <w:sz w:val="20"/>
                <w:szCs w:val="20"/>
                <w:lang w:bidi="ar"/>
              </w:rPr>
              <w:t>20</w:t>
            </w:r>
            <w:r>
              <w:rPr>
                <w:rFonts w:hint="eastAsia" w:ascii="宋体" w:hAnsi="宋体" w:cs="宋体"/>
                <w:kern w:val="0"/>
                <w:sz w:val="20"/>
                <w:szCs w:val="20"/>
                <w:lang w:bidi="ar"/>
              </w:rPr>
              <w:t>个工作日内组织环境影响的后评价，根据后评价结论采取改进措施，并将后评价结论和采取的改进措施报原核准该工程环境影响报告书的海洋主管部门备案。</w:t>
            </w: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公共服务</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sz w:val="20"/>
                <w:szCs w:val="20"/>
              </w:rPr>
              <w:t>行政审核审批科</w:t>
            </w:r>
            <w:r>
              <w:rPr>
                <w:rFonts w:hint="eastAsia" w:ascii="宋体" w:hAnsi="宋体" w:cs="宋体"/>
                <w:kern w:val="0"/>
                <w:sz w:val="20"/>
                <w:szCs w:val="20"/>
                <w:lang w:bidi="ar"/>
              </w:rPr>
              <w:t>、各县（市、区）生态环境局</w:t>
            </w: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1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strike/>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66AAF"/>
    <w:rsid w:val="50666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rFonts w:ascii="Times New Roman" w:hAnsi="Times New Roman"/>
      <w:b/>
      <w:kern w:val="0"/>
      <w:sz w:val="32"/>
      <w:szCs w:val="20"/>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8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2021-04-19T07:39:00Z</dcterms:created>
  <dc:creator>小白刺客</dc:creator>
  <cp:lastModifiedBy>小白刺客</cp:lastModifiedBy>
  <dcterms:modified xsi:type="dcterms:W3CDTF">2021-04-19T07:40:09Z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DF1839BD83084726BEB10C45EB9CB663</vt:lpwstr>
  </property>
</Properties>
</file>