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right"/>
        <w:textAlignment w:val="auto"/>
        <w:rPr>
          <w:rFonts w:hint="default" w:ascii="Times New Roman" w:hAnsi="Times New Roman" w:eastAsia="方正小标宋简体" w:cs="Times New Roman"/>
          <w:color w:val="auto"/>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after="283" w:line="560" w:lineRule="exact"/>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before="850"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泉州市工业和信息化局关于做好2023年度</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享受增值税加计抵减政策的先进制造业</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eastAsia="zh-CN"/>
        </w:rPr>
      </w:pPr>
      <w:r>
        <w:rPr>
          <w:rFonts w:hint="default" w:ascii="Times New Roman" w:hAnsi="Times New Roman" w:eastAsia="方正小标宋简体" w:cs="Times New Roman"/>
          <w:color w:val="auto"/>
          <w:sz w:val="44"/>
          <w:szCs w:val="44"/>
          <w:lang w:eastAsia="zh-CN"/>
        </w:rPr>
        <w:t>企业名单申报工作的通知</w:t>
      </w: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各县（市、区）工信（工信科技、工信商务）局，泉州开发区、泉州台商投资区科经局：</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US" w:eastAsia="zh-CN"/>
        </w:rPr>
        <w:t>根据《财政部 税务总局关于先进制造业企业增值税加计抵减政策的公告》（2023年第43号）、《工业和信息化部办公厅关于2023年度享受增值税加计抵减政策的先进制造业企业名单制定工作有关事项的通知》（工信厅财函〔2023〕267号）、《福建省工业和信息化厅关于做好2023年度享受增值税加计抵减政策的先进制造业企业名单申报工作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闽工信函运行〔2023〕501号</w:t>
      </w:r>
      <w:r>
        <w:rPr>
          <w:rFonts w:hint="eastAsia" w:ascii="Times New Roman" w:hAnsi="Times New Roman" w:eastAsia="仿宋_GB2312" w:cs="Times New Roman"/>
          <w:color w:val="auto"/>
          <w:sz w:val="32"/>
          <w:szCs w:val="32"/>
          <w:lang w:val="en-US" w:eastAsia="zh-CN"/>
        </w:rPr>
        <w:t>）</w:t>
      </w:r>
      <w:bookmarkStart w:id="0" w:name="_GoBack"/>
      <w:bookmarkEnd w:id="0"/>
      <w:r>
        <w:rPr>
          <w:rFonts w:hint="default" w:ascii="Times New Roman" w:hAnsi="Times New Roman" w:eastAsia="仿宋_GB2312" w:cs="Times New Roman"/>
          <w:color w:val="auto"/>
          <w:sz w:val="32"/>
          <w:szCs w:val="32"/>
          <w:lang w:val="en-US" w:eastAsia="zh-CN"/>
        </w:rPr>
        <w:t>要求，为做好2023年度享受增值税加计抵减政策的先进制造业企业名单申报工作，现将相关事项通知如下。</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2023年1月1日至2027年12月31日，允许先进制造业企业按照当期可抵扣进项税额加计5%抵减应纳增值税税额。先进制造业企业是指高新技术企业（含所属的非法人分支机构）中的制造业一般纳税人，高新技术企业是指按照《科技部 财政部 国家税务总局关于修订印发〈高新技术企业认定管理办法〉的通知》（国科发火〔2016〕32号）规定认定的高新技术企业。</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进入名单的企业应同时符合以下条件：（一）企业为有效期内高新技术企业，在高新技术企业认定管理工作网（http://www.innocom.gov.cn/）上填报的“所属行业”属于《国民经济行业分类》（GB/T 4754—2017）中“制造业”门类（C门类）；（二）2023年1月1日至8月31日期间，企业从事制造业业务相应发生的销售额合计占全部销售额比重50%（不含）以上。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申请列入名单的企业应于2023年10月12日前登录高新技术企业认定管理工作网，根据提示进入相应模块进行申报，生成纸质文件并加盖公章后报各县（市、区）工信部门。各地工信部门初核汇总后，于10月14日前将企业名单（样式见附件1）和企业申报文件报送</w:t>
      </w:r>
      <w:r>
        <w:rPr>
          <w:rFonts w:hint="eastAsia" w:ascii="Times New Roman" w:hAnsi="Times New Roman" w:eastAsia="仿宋_GB2312" w:cs="Times New Roman"/>
          <w:color w:val="auto"/>
          <w:sz w:val="32"/>
          <w:szCs w:val="32"/>
          <w:lang w:val="en-US" w:eastAsia="zh-CN"/>
        </w:rPr>
        <w:t>市工信局</w:t>
      </w:r>
      <w:r>
        <w:rPr>
          <w:rFonts w:hint="default" w:ascii="Times New Roman" w:hAnsi="Times New Roman" w:eastAsia="仿宋_GB2312" w:cs="Times New Roman"/>
          <w:color w:val="auto"/>
          <w:sz w:val="32"/>
          <w:szCs w:val="32"/>
          <w:lang w:val="en-US" w:eastAsia="zh-CN"/>
        </w:rPr>
        <w:t>。申报企业可于10月17日后从信息填报系统中查询相关情况，在当期一并计提前期可计提但未计提的加计抵减额。未及时申报企业后续可继续申报，各地工信部门于每月25日前将企业名单和企业申报文件报送市工信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2023年新认定为高新技术企业并申请列入名单的，应于2024年3月31日前根据本通知第二条要求提交补充申报，由各地工信部门于2024年4月5日前将补充名单和企业申报文件报送省工信厅。补充申报企业可于2024年4月10日后从信息填报系统中查询相关情况，在当期一并计提前期可计提但未计提的加计抵减额。</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五、各地在初核汇总名单时，应在符合政策规定的前提下，着力支持但不限于重点产业链供应链“白名单”企业、专精特新中小企业、专精特新“小巨人”企业、制造业单项冠军企业、先进制造业集群内企业等。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名单采取“真实发生、自行判别、申报享受、相关资料留存备查”的申请方式，企业对所提供材料和数据的真实性负责。各地工信部门会同科技、财政、税务部门，对名单内企业加强日常监督管理,如发现存在不符合政策条件的企业，形成不再享受先进制造业企业增值税加计抵减政策名单（样式见附件2），于当月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日前报送</w:t>
      </w:r>
      <w:r>
        <w:rPr>
          <w:rFonts w:hint="eastAsia" w:ascii="Times New Roman" w:hAnsi="Times New Roman" w:eastAsia="仿宋_GB2312" w:cs="Times New Roman"/>
          <w:color w:val="auto"/>
          <w:sz w:val="32"/>
          <w:szCs w:val="32"/>
          <w:lang w:val="en-US" w:eastAsia="zh-CN"/>
        </w:rPr>
        <w:t>市工信局</w:t>
      </w:r>
      <w:r>
        <w:rPr>
          <w:rFonts w:hint="default" w:ascii="Times New Roman" w:hAnsi="Times New Roman" w:eastAsia="仿宋_GB2312" w:cs="Times New Roman"/>
          <w:color w:val="auto"/>
          <w:sz w:val="32"/>
          <w:szCs w:val="32"/>
          <w:lang w:val="en-US" w:eastAsia="zh-CN"/>
        </w:rPr>
        <w:t>，经审定后名单内企业自不符合政策条件之月起不再享受政策。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 系 人：</w:t>
      </w:r>
      <w:r>
        <w:rPr>
          <w:rFonts w:hint="eastAsia" w:ascii="Times New Roman" w:hAnsi="Times New Roman" w:eastAsia="仿宋_GB2312" w:cs="Times New Roman"/>
          <w:color w:val="auto"/>
          <w:sz w:val="32"/>
          <w:szCs w:val="32"/>
          <w:lang w:val="en-US" w:eastAsia="zh-CN"/>
        </w:rPr>
        <w:t>郭垚宏</w:t>
      </w:r>
      <w:r>
        <w:rPr>
          <w:rFonts w:hint="default" w:ascii="Times New Roman" w:hAnsi="Times New Roman" w:eastAsia="仿宋_GB2312" w:cs="Times New Roman"/>
          <w:color w:val="auto"/>
          <w:sz w:val="32"/>
          <w:szCs w:val="32"/>
          <w:lang w:val="en-US" w:eastAsia="zh-CN"/>
        </w:rPr>
        <w:t xml:space="preserve">      联系电话：</w:t>
      </w:r>
      <w:r>
        <w:rPr>
          <w:rFonts w:hint="eastAsia" w:ascii="Times New Roman" w:hAnsi="Times New Roman" w:eastAsia="仿宋_GB2312" w:cs="Times New Roman"/>
          <w:color w:val="auto"/>
          <w:sz w:val="32"/>
          <w:szCs w:val="32"/>
          <w:lang w:val="en-US" w:eastAsia="zh-CN"/>
        </w:rPr>
        <w:t>28382827</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电子邮箱:qzjwyxk@126.com</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1699" w:leftChars="352" w:hanging="960" w:hanging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 1.2023年享受增值税加计抵减政策先进制造业企业名单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1688" w:leftChars="804" w:firstLine="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2.不再享受先进制造业企业增值税加计抵减政策名单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right="840" w:rightChars="400"/>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泉州市工业和信息化局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2023年10月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1531" w:right="1474" w:bottom="1531" w:left="1474" w:header="720" w:footer="720" w:gutter="0"/>
          <w:pgNumType w:fmt="decimal"/>
          <w:cols w:space="720" w:num="1"/>
          <w:docGrid w:type="lines" w:linePitch="312" w:charSpace="0"/>
        </w:sectPr>
      </w:pPr>
    </w:p>
    <w:p>
      <w:pPr>
        <w:keepNext w:val="0"/>
        <w:keepLines w:val="0"/>
        <w:pageBreakBefore w:val="0"/>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keepNext w:val="0"/>
        <w:keepLines w:val="0"/>
        <w:pageBreakBefore w:val="0"/>
        <w:widowControl/>
        <w:suppressAutoHyphens/>
        <w:kinsoku/>
        <w:wordWrap/>
        <w:overflowPunct/>
        <w:topLinePunct w:val="0"/>
        <w:autoSpaceDE/>
        <w:autoSpaceDN/>
        <w:bidi w:val="0"/>
        <w:adjustRightInd/>
        <w:snapToGrid/>
        <w:spacing w:line="240" w:lineRule="auto"/>
        <w:textAlignment w:val="auto"/>
        <w:outlineLvl w:val="0"/>
        <w:rPr>
          <w:rFonts w:hint="default" w:ascii="Times New Roman" w:hAnsi="Times New Roman" w:eastAsia="宋体" w:cs="Times New Roman"/>
          <w:b/>
          <w:bCs/>
          <w:color w:val="070707"/>
          <w:kern w:val="36"/>
          <w:sz w:val="32"/>
          <w:szCs w:val="32"/>
        </w:rPr>
      </w:pPr>
    </w:p>
    <w:p>
      <w:pPr>
        <w:keepNext w:val="0"/>
        <w:keepLines w:val="0"/>
        <w:pageBreakBefore w:val="0"/>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color w:val="auto"/>
          <w:sz w:val="48"/>
          <w:szCs w:val="48"/>
          <w:lang w:val="en-US" w:eastAsia="zh-CN"/>
        </w:rPr>
      </w:pPr>
      <w:r>
        <w:rPr>
          <w:rFonts w:hint="default" w:ascii="Times New Roman" w:hAnsi="Times New Roman" w:eastAsia="方正小标宋简体" w:cs="Times New Roman"/>
          <w:b w:val="0"/>
          <w:bCs w:val="0"/>
          <w:color w:val="auto"/>
          <w:sz w:val="48"/>
          <w:szCs w:val="48"/>
          <w:lang w:val="en-US" w:eastAsia="zh-CN"/>
        </w:rPr>
        <w:t>2023年享受增值税加计抵减政策先进制造业企业名单</w:t>
      </w:r>
    </w:p>
    <w:p>
      <w:pPr>
        <w:keepNext w:val="0"/>
        <w:keepLines w:val="0"/>
        <w:pageBreakBefore w:val="0"/>
        <w:widowControl/>
        <w:suppressAutoHyphens/>
        <w:kinsoku/>
        <w:wordWrap/>
        <w:overflowPunct/>
        <w:topLinePunct w:val="0"/>
        <w:autoSpaceDE/>
        <w:autoSpaceDN/>
        <w:bidi w:val="0"/>
        <w:adjustRightInd/>
        <w:snapToGrid/>
        <w:spacing w:line="240" w:lineRule="auto"/>
        <w:ind w:firstLine="720" w:firstLineChars="200"/>
        <w:jc w:val="both"/>
        <w:textAlignment w:val="auto"/>
        <w:rPr>
          <w:rFonts w:hint="default" w:ascii="Times New Roman" w:hAnsi="Times New Roman" w:eastAsia="仿宋_GB2312" w:cs="Times New Roman"/>
          <w:color w:val="070707"/>
          <w:kern w:val="0"/>
          <w:sz w:val="36"/>
          <w:szCs w:val="36"/>
        </w:rPr>
      </w:pPr>
      <w:r>
        <w:rPr>
          <w:rFonts w:hint="default" w:ascii="Times New Roman" w:hAnsi="Times New Roman" w:eastAsia="仿宋_GB2312" w:cs="Times New Roman"/>
          <w:color w:val="070707"/>
          <w:kern w:val="0"/>
          <w:sz w:val="36"/>
          <w:szCs w:val="36"/>
        </w:rPr>
        <w:t>填报单位（公章）：</w:t>
      </w:r>
      <w:r>
        <w:rPr>
          <w:rFonts w:hint="default" w:ascii="Times New Roman" w:hAnsi="Times New Roman" w:eastAsia="仿宋_GB2312" w:cs="Times New Roman"/>
          <w:color w:val="070707"/>
          <w:kern w:val="0"/>
          <w:sz w:val="36"/>
          <w:szCs w:val="36"/>
          <w:u w:val="single"/>
          <w:lang w:val="en-US" w:eastAsia="zh-CN"/>
        </w:rPr>
        <w:t xml:space="preserve">            </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rPr>
        <w:t>填报时间</w:t>
      </w:r>
      <w:r>
        <w:rPr>
          <w:rFonts w:hint="default" w:ascii="Times New Roman" w:hAnsi="Times New Roman" w:eastAsia="仿宋_GB2312" w:cs="Times New Roman"/>
          <w:color w:val="070707"/>
          <w:kern w:val="0"/>
          <w:sz w:val="36"/>
          <w:szCs w:val="36"/>
          <w:u w:val="none"/>
          <w:lang w:eastAsia="zh-CN"/>
        </w:rPr>
        <w:t>：</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年</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月</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日</w:t>
      </w:r>
    </w:p>
    <w:tbl>
      <w:tblPr>
        <w:tblStyle w:val="6"/>
        <w:tblW w:w="0" w:type="auto"/>
        <w:jc w:val="center"/>
        <w:tblLayout w:type="autofit"/>
        <w:tblCellMar>
          <w:top w:w="0" w:type="dxa"/>
          <w:left w:w="0" w:type="dxa"/>
          <w:bottom w:w="0" w:type="dxa"/>
          <w:right w:w="0" w:type="dxa"/>
        </w:tblCellMar>
      </w:tblPr>
      <w:tblGrid>
        <w:gridCol w:w="1023"/>
        <w:gridCol w:w="1634"/>
        <w:gridCol w:w="2791"/>
        <w:gridCol w:w="3956"/>
        <w:gridCol w:w="3959"/>
      </w:tblGrid>
      <w:tr>
        <w:tblPrEx>
          <w:tblCellMar>
            <w:top w:w="0" w:type="dxa"/>
            <w:left w:w="0" w:type="dxa"/>
            <w:bottom w:w="0" w:type="dxa"/>
            <w:right w:w="0" w:type="dxa"/>
          </w:tblCellMar>
        </w:tblPrEx>
        <w:trPr>
          <w:trHeight w:val="1681" w:hRule="atLeast"/>
          <w:jc w:val="center"/>
        </w:trPr>
        <w:tc>
          <w:tcPr>
            <w:tcW w:w="102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序号</w:t>
            </w:r>
          </w:p>
        </w:tc>
        <w:tc>
          <w:tcPr>
            <w:tcW w:w="16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企业名称</w:t>
            </w:r>
          </w:p>
        </w:tc>
        <w:tc>
          <w:tcPr>
            <w:tcW w:w="279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统一社会信用代码</w:t>
            </w:r>
          </w:p>
        </w:tc>
        <w:tc>
          <w:tcPr>
            <w:tcW w:w="395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是否设立非法人分支机构</w:t>
            </w:r>
          </w:p>
        </w:tc>
        <w:tc>
          <w:tcPr>
            <w:tcW w:w="396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如是，各分支机构的名称及统一社会信用代码</w:t>
            </w:r>
          </w:p>
        </w:tc>
      </w:tr>
      <w:tr>
        <w:tblPrEx>
          <w:tblCellMar>
            <w:top w:w="0" w:type="dxa"/>
            <w:left w:w="0" w:type="dxa"/>
            <w:bottom w:w="0" w:type="dxa"/>
            <w:right w:w="0" w:type="dxa"/>
          </w:tblCellMar>
        </w:tblPrEx>
        <w:trPr>
          <w:jc w:val="center"/>
        </w:trPr>
        <w:tc>
          <w:tcPr>
            <w:tcW w:w="102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p>
        </w:tc>
        <w:tc>
          <w:tcPr>
            <w:tcW w:w="16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7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5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6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r>
        <w:tblPrEx>
          <w:tblCellMar>
            <w:top w:w="0" w:type="dxa"/>
            <w:left w:w="0" w:type="dxa"/>
            <w:bottom w:w="0" w:type="dxa"/>
            <w:right w:w="0" w:type="dxa"/>
          </w:tblCellMar>
        </w:tblPrEx>
        <w:trPr>
          <w:jc w:val="center"/>
        </w:trPr>
        <w:tc>
          <w:tcPr>
            <w:tcW w:w="102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p>
        </w:tc>
        <w:tc>
          <w:tcPr>
            <w:tcW w:w="16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7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5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6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r>
        <w:tblPrEx>
          <w:tblCellMar>
            <w:top w:w="0" w:type="dxa"/>
            <w:left w:w="0" w:type="dxa"/>
            <w:bottom w:w="0" w:type="dxa"/>
            <w:right w:w="0" w:type="dxa"/>
          </w:tblCellMar>
        </w:tblPrEx>
        <w:trPr>
          <w:jc w:val="center"/>
        </w:trPr>
        <w:tc>
          <w:tcPr>
            <w:tcW w:w="102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p>
        </w:tc>
        <w:tc>
          <w:tcPr>
            <w:tcW w:w="16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7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5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6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r>
        <w:tblPrEx>
          <w:tblCellMar>
            <w:top w:w="0" w:type="dxa"/>
            <w:left w:w="0" w:type="dxa"/>
            <w:bottom w:w="0" w:type="dxa"/>
            <w:right w:w="0" w:type="dxa"/>
          </w:tblCellMar>
        </w:tblPrEx>
        <w:trPr>
          <w:jc w:val="center"/>
        </w:trPr>
        <w:tc>
          <w:tcPr>
            <w:tcW w:w="102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p>
        </w:tc>
        <w:tc>
          <w:tcPr>
            <w:tcW w:w="16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7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5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96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bl>
    <w:p>
      <w:pPr>
        <w:keepNext w:val="0"/>
        <w:keepLines w:val="0"/>
        <w:pageBreakBefore w:val="0"/>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val="0"/>
          <w:bCs w:val="0"/>
          <w:color w:val="auto"/>
          <w:sz w:val="44"/>
          <w:szCs w:val="44"/>
          <w:lang w:val="en-US" w:eastAsia="zh-CN"/>
        </w:rPr>
      </w:pPr>
    </w:p>
    <w:p>
      <w:pPr>
        <w:keepNext w:val="0"/>
        <w:keepLines w:val="0"/>
        <w:pageBreakBefore w:val="0"/>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pPr>
        <w:keepNext w:val="0"/>
        <w:keepLines w:val="0"/>
        <w:pageBreakBefore w:val="0"/>
        <w:widowControl/>
        <w:suppressAutoHyphens/>
        <w:kinsoku/>
        <w:wordWrap/>
        <w:overflowPunct/>
        <w:topLinePunct w:val="0"/>
        <w:autoSpaceDE/>
        <w:autoSpaceDN/>
        <w:bidi w:val="0"/>
        <w:adjustRightInd/>
        <w:snapToGrid/>
        <w:spacing w:line="240" w:lineRule="auto"/>
        <w:textAlignment w:val="auto"/>
        <w:outlineLvl w:val="0"/>
        <w:rPr>
          <w:rFonts w:hint="default" w:ascii="Times New Roman" w:hAnsi="Times New Roman" w:eastAsia="宋体" w:cs="Times New Roman"/>
          <w:b/>
          <w:bCs/>
          <w:color w:val="070707"/>
          <w:kern w:val="36"/>
          <w:sz w:val="32"/>
          <w:szCs w:val="32"/>
        </w:rPr>
      </w:pPr>
    </w:p>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color w:val="auto"/>
          <w:sz w:val="48"/>
          <w:szCs w:val="48"/>
          <w:lang w:val="en-US" w:eastAsia="zh-CN"/>
        </w:rPr>
      </w:pPr>
      <w:r>
        <w:rPr>
          <w:rFonts w:hint="default" w:ascii="Times New Roman" w:hAnsi="Times New Roman" w:eastAsia="方正小标宋简体" w:cs="Times New Roman"/>
          <w:b w:val="0"/>
          <w:bCs w:val="0"/>
          <w:color w:val="auto"/>
          <w:sz w:val="48"/>
          <w:szCs w:val="48"/>
          <w:lang w:val="en-US" w:eastAsia="zh-CN"/>
        </w:rPr>
        <w:t>不再享受先进制造业企业增值税加计抵减政策名单</w:t>
      </w:r>
    </w:p>
    <w:p>
      <w:pPr>
        <w:keepNext w:val="0"/>
        <w:keepLines w:val="0"/>
        <w:pageBreakBefore w:val="0"/>
        <w:widowControl/>
        <w:suppressAutoHyphens/>
        <w:kinsoku/>
        <w:wordWrap/>
        <w:overflowPunct/>
        <w:topLinePunct w:val="0"/>
        <w:autoSpaceDE/>
        <w:autoSpaceDN/>
        <w:bidi w:val="0"/>
        <w:adjustRightInd/>
        <w:snapToGrid/>
        <w:spacing w:line="240" w:lineRule="auto"/>
        <w:ind w:firstLine="720" w:firstLineChars="200"/>
        <w:jc w:val="both"/>
        <w:textAlignment w:val="auto"/>
        <w:rPr>
          <w:rFonts w:hint="default" w:ascii="Times New Roman" w:hAnsi="Times New Roman" w:eastAsia="仿宋_GB2312" w:cs="Times New Roman"/>
          <w:color w:val="070707"/>
          <w:kern w:val="0"/>
          <w:sz w:val="36"/>
          <w:szCs w:val="36"/>
        </w:rPr>
      </w:pPr>
      <w:r>
        <w:rPr>
          <w:rFonts w:hint="default" w:ascii="Times New Roman" w:hAnsi="Times New Roman" w:eastAsia="仿宋_GB2312" w:cs="Times New Roman"/>
          <w:color w:val="070707"/>
          <w:kern w:val="0"/>
          <w:sz w:val="36"/>
          <w:szCs w:val="36"/>
        </w:rPr>
        <w:t>填报单位（公章）：</w:t>
      </w:r>
      <w:r>
        <w:rPr>
          <w:rFonts w:hint="default" w:ascii="Times New Roman" w:hAnsi="Times New Roman" w:eastAsia="仿宋_GB2312" w:cs="Times New Roman"/>
          <w:color w:val="070707"/>
          <w:kern w:val="0"/>
          <w:sz w:val="36"/>
          <w:szCs w:val="36"/>
          <w:u w:val="single"/>
          <w:lang w:val="en-US" w:eastAsia="zh-CN"/>
        </w:rPr>
        <w:t xml:space="preserve">            </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rPr>
        <w:t>填报时间</w:t>
      </w:r>
      <w:r>
        <w:rPr>
          <w:rFonts w:hint="default" w:ascii="Times New Roman" w:hAnsi="Times New Roman" w:eastAsia="仿宋_GB2312" w:cs="Times New Roman"/>
          <w:color w:val="070707"/>
          <w:kern w:val="0"/>
          <w:sz w:val="36"/>
          <w:szCs w:val="36"/>
          <w:u w:val="none"/>
          <w:lang w:eastAsia="zh-CN"/>
        </w:rPr>
        <w:t>：</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年</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月</w:t>
      </w:r>
      <w:r>
        <w:rPr>
          <w:rFonts w:hint="default" w:ascii="Times New Roman" w:hAnsi="Times New Roman" w:eastAsia="仿宋_GB2312" w:cs="Times New Roman"/>
          <w:color w:val="070707"/>
          <w:kern w:val="0"/>
          <w:sz w:val="36"/>
          <w:szCs w:val="36"/>
          <w:u w:val="none"/>
          <w:lang w:val="en-US" w:eastAsia="zh-CN"/>
        </w:rPr>
        <w:t xml:space="preserve">  </w:t>
      </w:r>
      <w:r>
        <w:rPr>
          <w:rFonts w:hint="default" w:ascii="Times New Roman" w:hAnsi="Times New Roman" w:eastAsia="仿宋_GB2312" w:cs="Times New Roman"/>
          <w:color w:val="070707"/>
          <w:kern w:val="0"/>
          <w:sz w:val="36"/>
          <w:szCs w:val="36"/>
          <w:u w:val="none"/>
        </w:rPr>
        <w:t>日</w:t>
      </w:r>
    </w:p>
    <w:tbl>
      <w:tblPr>
        <w:tblStyle w:val="6"/>
        <w:tblW w:w="14164" w:type="dxa"/>
        <w:jc w:val="center"/>
        <w:tblLayout w:type="autofit"/>
        <w:tblCellMar>
          <w:top w:w="0" w:type="dxa"/>
          <w:left w:w="0" w:type="dxa"/>
          <w:bottom w:w="0" w:type="dxa"/>
          <w:right w:w="0" w:type="dxa"/>
        </w:tblCellMar>
      </w:tblPr>
      <w:tblGrid>
        <w:gridCol w:w="1170"/>
        <w:gridCol w:w="1569"/>
        <w:gridCol w:w="2338"/>
        <w:gridCol w:w="2642"/>
        <w:gridCol w:w="3222"/>
        <w:gridCol w:w="3223"/>
      </w:tblGrid>
      <w:tr>
        <w:tblPrEx>
          <w:tblCellMar>
            <w:top w:w="0" w:type="dxa"/>
            <w:left w:w="0" w:type="dxa"/>
            <w:bottom w:w="0" w:type="dxa"/>
            <w:right w:w="0" w:type="dxa"/>
          </w:tblCellMar>
        </w:tblPrEx>
        <w:trPr>
          <w:trHeight w:val="1225" w:hRule="atLeast"/>
          <w:jc w:val="center"/>
        </w:trPr>
        <w:tc>
          <w:tcPr>
            <w:tcW w:w="11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序号</w:t>
            </w:r>
          </w:p>
        </w:tc>
        <w:tc>
          <w:tcPr>
            <w:tcW w:w="156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企业名称</w:t>
            </w:r>
          </w:p>
        </w:tc>
        <w:tc>
          <w:tcPr>
            <w:tcW w:w="233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统一社会信用代码</w:t>
            </w:r>
          </w:p>
        </w:tc>
        <w:tc>
          <w:tcPr>
            <w:tcW w:w="264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不再享受政策</w:t>
            </w:r>
          </w:p>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原因</w:t>
            </w:r>
            <w:r>
              <w:rPr>
                <w:rFonts w:hint="default" w:ascii="Times New Roman" w:hAnsi="Times New Roman" w:eastAsia="仿宋_GB2312" w:cs="Times New Roman"/>
                <w:b/>
                <w:bCs/>
                <w:color w:val="auto"/>
                <w:kern w:val="0"/>
                <w:sz w:val="32"/>
                <w:szCs w:val="32"/>
                <w:vertAlign w:val="superscript"/>
              </w:rPr>
              <w:t>①</w:t>
            </w:r>
          </w:p>
        </w:tc>
        <w:tc>
          <w:tcPr>
            <w:tcW w:w="322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不再享受政策</w:t>
            </w:r>
          </w:p>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时间</w:t>
            </w:r>
            <w:r>
              <w:rPr>
                <w:rFonts w:hint="default" w:ascii="Times New Roman" w:hAnsi="Times New Roman" w:eastAsia="仿宋_GB2312" w:cs="Times New Roman"/>
                <w:b/>
                <w:bCs/>
                <w:color w:val="auto"/>
                <w:kern w:val="0"/>
                <w:sz w:val="32"/>
                <w:szCs w:val="32"/>
                <w:vertAlign w:val="superscript"/>
              </w:rPr>
              <w:t>②</w:t>
            </w:r>
          </w:p>
        </w:tc>
        <w:tc>
          <w:tcPr>
            <w:tcW w:w="322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是否设立非法人分支机构</w:t>
            </w:r>
          </w:p>
        </w:tc>
      </w:tr>
      <w:tr>
        <w:tblPrEx>
          <w:tblCellMar>
            <w:top w:w="0" w:type="dxa"/>
            <w:left w:w="0" w:type="dxa"/>
            <w:bottom w:w="0" w:type="dxa"/>
            <w:right w:w="0" w:type="dxa"/>
          </w:tblCellMar>
        </w:tblPrEx>
        <w:trPr>
          <w:jc w:val="center"/>
        </w:trPr>
        <w:tc>
          <w:tcPr>
            <w:tcW w:w="11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p>
        </w:tc>
        <w:tc>
          <w:tcPr>
            <w:tcW w:w="1569"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3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64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r>
        <w:tblPrEx>
          <w:tblCellMar>
            <w:top w:w="0" w:type="dxa"/>
            <w:left w:w="0" w:type="dxa"/>
            <w:bottom w:w="0" w:type="dxa"/>
            <w:right w:w="0" w:type="dxa"/>
          </w:tblCellMar>
        </w:tblPrEx>
        <w:trPr>
          <w:jc w:val="center"/>
        </w:trPr>
        <w:tc>
          <w:tcPr>
            <w:tcW w:w="11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p>
        </w:tc>
        <w:tc>
          <w:tcPr>
            <w:tcW w:w="1569"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3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64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r>
        <w:tblPrEx>
          <w:tblCellMar>
            <w:top w:w="0" w:type="dxa"/>
            <w:left w:w="0" w:type="dxa"/>
            <w:bottom w:w="0" w:type="dxa"/>
            <w:right w:w="0" w:type="dxa"/>
          </w:tblCellMar>
        </w:tblPrEx>
        <w:trPr>
          <w:jc w:val="center"/>
        </w:trPr>
        <w:tc>
          <w:tcPr>
            <w:tcW w:w="11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before="105" w:after="105" w:line="240" w:lineRule="auto"/>
              <w:jc w:val="center"/>
              <w:textAlignment w:val="auto"/>
              <w:rPr>
                <w:rFonts w:hint="default" w:ascii="Times New Roman" w:hAnsi="Times New Roman" w:eastAsia="仿宋_GB2312" w:cs="Times New Roman"/>
                <w:color w:val="auto"/>
                <w:kern w:val="0"/>
                <w:sz w:val="32"/>
                <w:szCs w:val="32"/>
                <w:lang w:val="en"/>
              </w:rPr>
            </w:pPr>
            <w:r>
              <w:rPr>
                <w:rFonts w:hint="default" w:ascii="Times New Roman" w:hAnsi="Times New Roman" w:eastAsia="仿宋_GB2312" w:cs="Times New Roman"/>
                <w:color w:val="auto"/>
                <w:kern w:val="0"/>
                <w:sz w:val="32"/>
                <w:szCs w:val="32"/>
                <w:lang w:val="en"/>
              </w:rPr>
              <w:t>......</w:t>
            </w:r>
          </w:p>
        </w:tc>
        <w:tc>
          <w:tcPr>
            <w:tcW w:w="1569"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338"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264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c>
          <w:tcPr>
            <w:tcW w:w="322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32"/>
                <w:szCs w:val="32"/>
              </w:rPr>
            </w:pPr>
          </w:p>
        </w:tc>
      </w:tr>
    </w:tbl>
    <w:p>
      <w:pPr>
        <w:keepNext w:val="0"/>
        <w:keepLines w:val="0"/>
        <w:pageBreakBefore w:val="0"/>
        <w:suppressAutoHyphen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注：①不再享受政策的原因包括：A.取消高新技术企业资格；B.其他情况（须注明具体原因）。</w:t>
      </w:r>
    </w:p>
    <w:p>
      <w:pPr>
        <w:keepNext w:val="0"/>
        <w:keepLines w:val="0"/>
        <w:pageBreakBefore w:val="0"/>
        <w:suppressAutoHyphen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
        </w:rPr>
        <w:t xml:space="preserve">    </w:t>
      </w:r>
      <w:r>
        <w:rPr>
          <w:rFonts w:hint="default" w:ascii="Times New Roman" w:hAnsi="Times New Roman" w:eastAsia="仿宋_GB2312" w:cs="Times New Roman"/>
          <w:color w:val="auto"/>
          <w:sz w:val="32"/>
          <w:szCs w:val="32"/>
        </w:rPr>
        <w:t>②不再享受政策时间为企业不符合政策支持条件之月。</w:t>
      </w:r>
    </w:p>
    <w:sectPr>
      <w:footerReference r:id="rId4" w:type="default"/>
      <w:pgSz w:w="16838" w:h="11906" w:orient="landscape"/>
      <w:pgMar w:top="1531" w:right="2041" w:bottom="1531" w:left="164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179999" tIns="0" rIns="179999" bIns="0" anchor="t" anchorCtr="0" upright="0">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z6ojZAAAACAEAAA8AAAAAAAAAAQAgAAAAIgAAAGRycy9kb3ducmV2LnhtbFBLAQIU&#10;ABQAAAAIAIdO4kBxfdz98gEAAOADAAAOAAAAAAAAAAEAIAAAACgBAABkcnMvZTJvRG9jLnhtbFBL&#10;BQYAAAAABgAGAFkBAACMBQAAAAA=&#10;">
              <v:fill on="f" focussize="0,0"/>
              <v:stroke on="f" weight="1.25pt"/>
              <v:imagedata o:title=""/>
              <o:lock v:ext="edit" aspectratio="f"/>
              <v:textbox inset="14.1731496062992pt,0mm,14.1731496062992pt,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F54A2"/>
    <w:multiLevelType w:val="singleLevel"/>
    <w:tmpl w:val="BBCF54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YjIzMjAyNTcxNzljMmY4NTEwY2U3ZWNmYmFmMDAifQ=="/>
  </w:docVars>
  <w:rsids>
    <w:rsidRoot w:val="00000000"/>
    <w:rsid w:val="0842784B"/>
    <w:rsid w:val="0FBE3321"/>
    <w:rsid w:val="1A835507"/>
    <w:rsid w:val="29BC0105"/>
    <w:rsid w:val="2C506C46"/>
    <w:rsid w:val="32DD8132"/>
    <w:rsid w:val="33F39502"/>
    <w:rsid w:val="37B14F13"/>
    <w:rsid w:val="3BFB1859"/>
    <w:rsid w:val="3DB1D7AF"/>
    <w:rsid w:val="3DFBFE10"/>
    <w:rsid w:val="3EEDBEFA"/>
    <w:rsid w:val="3FBF981E"/>
    <w:rsid w:val="4F7ED02B"/>
    <w:rsid w:val="4FFF09E2"/>
    <w:rsid w:val="59FDC34A"/>
    <w:rsid w:val="5DFFC7F3"/>
    <w:rsid w:val="5EFADF7B"/>
    <w:rsid w:val="5FCEB171"/>
    <w:rsid w:val="5FF5D4AF"/>
    <w:rsid w:val="68DDA742"/>
    <w:rsid w:val="6BEF449D"/>
    <w:rsid w:val="6EE7DD1D"/>
    <w:rsid w:val="6FDF7069"/>
    <w:rsid w:val="6FFF98DF"/>
    <w:rsid w:val="6FFFD9E4"/>
    <w:rsid w:val="71EC3CB9"/>
    <w:rsid w:val="73BDDC01"/>
    <w:rsid w:val="74B258B0"/>
    <w:rsid w:val="74B66A46"/>
    <w:rsid w:val="751F496C"/>
    <w:rsid w:val="75DF13BD"/>
    <w:rsid w:val="77B42191"/>
    <w:rsid w:val="77F52C34"/>
    <w:rsid w:val="797F0668"/>
    <w:rsid w:val="7A7D8856"/>
    <w:rsid w:val="7BDE5385"/>
    <w:rsid w:val="7BFD5CAB"/>
    <w:rsid w:val="7DD67AC1"/>
    <w:rsid w:val="7DDBF50D"/>
    <w:rsid w:val="7F199D24"/>
    <w:rsid w:val="7F6D523D"/>
    <w:rsid w:val="7FBF117D"/>
    <w:rsid w:val="7FEDA5DD"/>
    <w:rsid w:val="7FF72A63"/>
    <w:rsid w:val="87BE636D"/>
    <w:rsid w:val="8BB7898E"/>
    <w:rsid w:val="9C79A6A3"/>
    <w:rsid w:val="9F7FC1F7"/>
    <w:rsid w:val="9FBD1186"/>
    <w:rsid w:val="9FFBE095"/>
    <w:rsid w:val="B65B0CAD"/>
    <w:rsid w:val="B79EC8E6"/>
    <w:rsid w:val="BBAFF926"/>
    <w:rsid w:val="BBB3972A"/>
    <w:rsid w:val="BBFF6A4C"/>
    <w:rsid w:val="BDB996CC"/>
    <w:rsid w:val="BFDE3876"/>
    <w:rsid w:val="BFEED35E"/>
    <w:rsid w:val="BFFBAC34"/>
    <w:rsid w:val="C3FACE4C"/>
    <w:rsid w:val="C56AF774"/>
    <w:rsid w:val="D7FE7A0C"/>
    <w:rsid w:val="DCE1A410"/>
    <w:rsid w:val="DDFFF8AD"/>
    <w:rsid w:val="E5B718C8"/>
    <w:rsid w:val="ECE79BAF"/>
    <w:rsid w:val="EFA7D949"/>
    <w:rsid w:val="EFFD67CD"/>
    <w:rsid w:val="EFFEBA8A"/>
    <w:rsid w:val="EFFF16D6"/>
    <w:rsid w:val="F2DB0C8E"/>
    <w:rsid w:val="F2FDD876"/>
    <w:rsid w:val="F3FD964F"/>
    <w:rsid w:val="F5EF6360"/>
    <w:rsid w:val="F5F79515"/>
    <w:rsid w:val="F6CBFA2D"/>
    <w:rsid w:val="F6FAAA8D"/>
    <w:rsid w:val="F71DCCC8"/>
    <w:rsid w:val="F7D3865B"/>
    <w:rsid w:val="F7F505F6"/>
    <w:rsid w:val="F8BDDF42"/>
    <w:rsid w:val="F8EED133"/>
    <w:rsid w:val="F977D80B"/>
    <w:rsid w:val="FB6FA3C1"/>
    <w:rsid w:val="FBFE7DAA"/>
    <w:rsid w:val="FDDE13CE"/>
    <w:rsid w:val="FDFC7F7F"/>
    <w:rsid w:val="FE2F8BB7"/>
    <w:rsid w:val="FE728AEF"/>
    <w:rsid w:val="FF461977"/>
    <w:rsid w:val="FF7F2496"/>
    <w:rsid w:val="FFC77D1A"/>
    <w:rsid w:val="FFD28980"/>
    <w:rsid w:val="FFDB4CAD"/>
    <w:rsid w:val="FFED2568"/>
    <w:rsid w:val="FFED817B"/>
    <w:rsid w:val="FFF5F8BE"/>
    <w:rsid w:val="FFFFDE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List"/>
    <w:basedOn w:val="3"/>
    <w:qFormat/>
    <w:uiPriority w:val="0"/>
  </w:style>
  <w:style w:type="character" w:customStyle="1" w:styleId="8">
    <w:name w:val="默认段落字体1"/>
    <w:qFormat/>
    <w:uiPriority w:val="0"/>
  </w:style>
  <w:style w:type="paragraph" w:customStyle="1" w:styleId="9">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guest</dc:creator>
  <cp:lastModifiedBy>吴静文</cp:lastModifiedBy>
  <cp:lastPrinted>2023-10-11T08:40:00Z</cp:lastPrinted>
  <dcterms:modified xsi:type="dcterms:W3CDTF">2023-10-12T01:21:20Z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6D9367AD78D0413684ED8668F3B67594_13</vt:lpwstr>
  </property>
</Properties>
</file>