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FA282">
      <w:pPr>
        <w:spacing w:line="590" w:lineRule="exact"/>
        <w:jc w:val="center"/>
        <w:rPr>
          <w:rFonts w:hint="eastAsia" w:ascii="方正小标宋简体" w:hAnsi="方正小标宋简体" w:eastAsia="方正小标宋简体" w:cs="方正小标宋简体"/>
          <w:w w:val="95"/>
          <w:sz w:val="44"/>
          <w:szCs w:val="44"/>
          <w:lang w:val="en-US" w:eastAsia="zh-CN"/>
        </w:rPr>
      </w:pPr>
    </w:p>
    <w:p w14:paraId="3BABE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333333"/>
          <w:spacing w:val="0"/>
          <w:kern w:val="0"/>
          <w:sz w:val="44"/>
          <w:szCs w:val="44"/>
          <w:lang w:val="en-US" w:eastAsia="zh-CN" w:bidi="ar"/>
        </w:rPr>
      </w:pPr>
      <w:bookmarkStart w:id="0" w:name="_GoBack"/>
      <w:r>
        <w:rPr>
          <w:rFonts w:hint="eastAsia" w:ascii="方正小标宋简体" w:hAnsi="方正小标宋简体" w:eastAsia="方正小标宋简体" w:cs="方正小标宋简体"/>
          <w:b w:val="0"/>
          <w:bCs w:val="0"/>
          <w:i w:val="0"/>
          <w:iCs w:val="0"/>
          <w:caps w:val="0"/>
          <w:color w:val="333333"/>
          <w:spacing w:val="0"/>
          <w:kern w:val="0"/>
          <w:sz w:val="44"/>
          <w:szCs w:val="44"/>
          <w:lang w:val="en-US" w:eastAsia="zh-CN" w:bidi="ar"/>
        </w:rPr>
        <w:t>《</w:t>
      </w:r>
      <w:r>
        <w:rPr>
          <w:rFonts w:hint="eastAsia" w:ascii="方正小标宋简体" w:hAnsi="方正小标宋简体" w:eastAsia="方正小标宋简体" w:cs="方正小标宋简体"/>
          <w:b w:val="0"/>
          <w:bCs w:val="0"/>
          <w:i w:val="0"/>
          <w:iCs w:val="0"/>
          <w:caps w:val="0"/>
          <w:color w:val="333333"/>
          <w:spacing w:val="0"/>
          <w:kern w:val="0"/>
          <w:sz w:val="44"/>
          <w:szCs w:val="44"/>
          <w:lang w:val="en-US" w:eastAsia="zh-CN" w:bidi="ar"/>
        </w:rPr>
        <w:t>泉州市鲤城区教育局关于公开征求公布2024年度行政规范性文件清理结果（征求意见稿）》</w:t>
      </w:r>
      <w:r>
        <w:rPr>
          <w:rFonts w:hint="eastAsia" w:ascii="方正小标宋简体" w:hAnsi="方正小标宋简体" w:eastAsia="方正小标宋简体" w:cs="方正小标宋简体"/>
          <w:b w:val="0"/>
          <w:bCs w:val="0"/>
          <w:i w:val="0"/>
          <w:iCs w:val="0"/>
          <w:caps w:val="0"/>
          <w:color w:val="333333"/>
          <w:spacing w:val="0"/>
          <w:kern w:val="0"/>
          <w:sz w:val="44"/>
          <w:szCs w:val="44"/>
          <w:lang w:val="en-US" w:eastAsia="zh-CN" w:bidi="ar"/>
        </w:rPr>
        <w:t>起草说明</w:t>
      </w:r>
    </w:p>
    <w:bookmarkEnd w:id="0"/>
    <w:p w14:paraId="49DA6820">
      <w:pPr>
        <w:pStyle w:val="2"/>
        <w:rPr>
          <w:rFonts w:hint="eastAsia" w:ascii="方正小标宋简体" w:hAnsi="方正小标宋简体" w:eastAsia="方正小标宋简体" w:cs="方正小标宋简体"/>
          <w:b w:val="0"/>
          <w:bCs w:val="0"/>
          <w:i w:val="0"/>
          <w:iCs w:val="0"/>
          <w:caps w:val="0"/>
          <w:color w:val="333333"/>
          <w:spacing w:val="0"/>
          <w:kern w:val="0"/>
          <w:sz w:val="44"/>
          <w:szCs w:val="44"/>
          <w:lang w:val="en-US" w:eastAsia="zh-CN" w:bidi="ar"/>
        </w:rPr>
      </w:pPr>
    </w:p>
    <w:p w14:paraId="6E3B0262">
      <w:pPr>
        <w:spacing w:line="520" w:lineRule="exact"/>
        <w:ind w:firstLine="640" w:firstLineChars="200"/>
        <w:rPr>
          <w:rFonts w:ascii="方正黑体" w:hAnsi="方正黑体" w:eastAsia="方正黑体" w:cs="方正黑体"/>
          <w:sz w:val="32"/>
          <w:szCs w:val="32"/>
        </w:rPr>
      </w:pPr>
      <w:r>
        <w:rPr>
          <w:rFonts w:hint="eastAsia" w:ascii="方正黑体" w:hAnsi="方正黑体" w:eastAsia="方正黑体" w:cs="方正黑体"/>
          <w:sz w:val="32"/>
          <w:szCs w:val="32"/>
        </w:rPr>
        <w:t>一、制定的背景和依据</w:t>
      </w:r>
    </w:p>
    <w:p w14:paraId="32E11B16">
      <w:pPr>
        <w:spacing w:line="520" w:lineRule="exact"/>
        <w:ind w:firstLine="640" w:firstLineChars="200"/>
        <w:rPr>
          <w:rFonts w:ascii="Times New Roman" w:hAnsi="Times New Roman" w:eastAsia="方正仿宋简体"/>
          <w:sz w:val="32"/>
        </w:rPr>
      </w:pPr>
      <w:r>
        <w:rPr>
          <w:rFonts w:hint="eastAsia" w:ascii="Times New Roman" w:hAnsi="Times New Roman" w:eastAsia="方正仿宋简体"/>
          <w:sz w:val="32"/>
        </w:rPr>
        <w:t>1.制定的必要性和可行性。</w:t>
      </w:r>
    </w:p>
    <w:p w14:paraId="6D998488">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根据</w:t>
      </w:r>
      <w:r>
        <w:rPr>
          <w:rFonts w:hint="eastAsia" w:ascii="Times New Roman" w:hAnsi="Times New Roman" w:eastAsia="方正仿宋简体"/>
          <w:sz w:val="32"/>
          <w:szCs w:val="32"/>
        </w:rPr>
        <w:t>《福建省行政规范性文件备案审查办法》</w:t>
      </w:r>
      <w:r>
        <w:rPr>
          <w:rFonts w:hint="eastAsia" w:ascii="方正仿宋简体" w:hAnsi="方正仿宋简体" w:eastAsia="方正仿宋简体" w:cs="方正仿宋简体"/>
          <w:kern w:val="0"/>
          <w:sz w:val="32"/>
          <w:szCs w:val="32"/>
        </w:rPr>
        <w:t>第二十九条规定，</w:t>
      </w:r>
      <w:r>
        <w:rPr>
          <w:rFonts w:ascii="方正仿宋简体" w:hAnsi="方正仿宋简体" w:eastAsia="方正仿宋简体" w:cs="方正仿宋简体"/>
          <w:kern w:val="0"/>
          <w:sz w:val="32"/>
          <w:szCs w:val="32"/>
        </w:rPr>
        <w:t>行政机关应当建立健全规范性文件动态清理工作机制，根据法律、法规、规章和国家政策的制定、修改、废止等情况以及经济社会发展需要，对规范性文件及时进行清理，并将清理结果向社会公布。</w:t>
      </w:r>
    </w:p>
    <w:p w14:paraId="4F69DFF8">
      <w:pPr>
        <w:spacing w:line="520" w:lineRule="exact"/>
        <w:ind w:firstLine="640" w:firstLineChars="200"/>
        <w:rPr>
          <w:rFonts w:ascii="Times New Roman" w:hAnsi="Times New Roman" w:eastAsia="方正仿宋简体"/>
          <w:sz w:val="32"/>
        </w:rPr>
      </w:pPr>
      <w:r>
        <w:rPr>
          <w:rFonts w:eastAsia="方正仿宋简体"/>
          <w:sz w:val="32"/>
          <w:szCs w:val="32"/>
        </w:rPr>
        <w:t>《泉州市</w:t>
      </w:r>
      <w:r>
        <w:rPr>
          <w:rFonts w:hint="eastAsia" w:eastAsia="方正仿宋简体"/>
          <w:sz w:val="32"/>
          <w:szCs w:val="32"/>
        </w:rPr>
        <w:t>人民政府关于印发泉州市</w:t>
      </w:r>
      <w:r>
        <w:rPr>
          <w:rFonts w:eastAsia="方正仿宋简体"/>
          <w:sz w:val="32"/>
          <w:szCs w:val="32"/>
        </w:rPr>
        <w:t>行政规范性文件</w:t>
      </w:r>
      <w:r>
        <w:rPr>
          <w:rFonts w:ascii="Times New Roman" w:hAnsi="Times New Roman" w:eastAsia="方正仿宋简体"/>
          <w:sz w:val="32"/>
          <w:szCs w:val="32"/>
        </w:rPr>
        <w:t>管理规定的通知》（</w:t>
      </w:r>
      <w:r>
        <w:rPr>
          <w:rFonts w:ascii="方正仿宋简体" w:hAnsi="方正仿宋简体" w:eastAsia="方正仿宋简体" w:cs="方正仿宋简体"/>
          <w:kern w:val="0"/>
          <w:sz w:val="32"/>
          <w:szCs w:val="32"/>
        </w:rPr>
        <w:t>泉</w:t>
      </w:r>
      <w:r>
        <w:rPr>
          <w:rFonts w:ascii="Times New Roman" w:hAnsi="方正仿宋简体" w:eastAsia="方正仿宋简体"/>
          <w:kern w:val="0"/>
          <w:sz w:val="32"/>
          <w:szCs w:val="32"/>
        </w:rPr>
        <w:t>政规〔</w:t>
      </w:r>
      <w:r>
        <w:rPr>
          <w:rFonts w:ascii="Times New Roman" w:hAnsi="Times New Roman" w:eastAsia="方正仿宋简体"/>
          <w:kern w:val="0"/>
          <w:sz w:val="32"/>
          <w:szCs w:val="32"/>
        </w:rPr>
        <w:t>2022</w:t>
      </w:r>
      <w:r>
        <w:rPr>
          <w:rFonts w:ascii="Times New Roman" w:hAnsi="方正仿宋简体" w:eastAsia="方正仿宋简体"/>
          <w:kern w:val="0"/>
          <w:sz w:val="32"/>
          <w:szCs w:val="32"/>
        </w:rPr>
        <w:t>〕</w:t>
      </w:r>
      <w:r>
        <w:rPr>
          <w:rFonts w:ascii="Times New Roman" w:hAnsi="Times New Roman" w:eastAsia="方正仿宋简体"/>
          <w:kern w:val="0"/>
          <w:sz w:val="32"/>
          <w:szCs w:val="32"/>
        </w:rPr>
        <w:t>3</w:t>
      </w:r>
      <w:r>
        <w:rPr>
          <w:rFonts w:ascii="Times New Roman" w:hAnsi="方正仿宋简体" w:eastAsia="方正仿宋简体"/>
          <w:kern w:val="0"/>
          <w:sz w:val="32"/>
          <w:szCs w:val="32"/>
        </w:rPr>
        <w:t>号</w:t>
      </w:r>
      <w:r>
        <w:rPr>
          <w:rFonts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kern w:val="0"/>
          <w:sz w:val="32"/>
          <w:szCs w:val="32"/>
        </w:rPr>
        <w:t>第（四十九）条规定，市、县（市、区）人民政府应当每隔一年或两年组织对本行政区域行政规范性文件的全面清理，具体工作由市、县（市、区）司法行政部门负责。</w:t>
      </w:r>
    </w:p>
    <w:p w14:paraId="7C5E2C97">
      <w:pPr>
        <w:spacing w:line="520" w:lineRule="exact"/>
        <w:ind w:firstLine="640" w:firstLineChars="200"/>
        <w:rPr>
          <w:rFonts w:ascii="Times New Roman" w:hAnsi="Times New Roman" w:eastAsia="方正仿宋简体"/>
          <w:sz w:val="32"/>
        </w:rPr>
      </w:pPr>
      <w:r>
        <w:rPr>
          <w:rFonts w:hint="eastAsia" w:ascii="Times New Roman" w:hAnsi="Times New Roman" w:eastAsia="方正仿宋简体"/>
          <w:sz w:val="32"/>
        </w:rPr>
        <w:t>2.制定依据</w:t>
      </w:r>
    </w:p>
    <w:p w14:paraId="1DF64FE6">
      <w:pPr>
        <w:pStyle w:val="3"/>
        <w:shd w:val="clear" w:color="auto"/>
        <w:spacing w:before="0" w:beforeAutospacing="0" w:after="0" w:afterAutospacing="0" w:line="520" w:lineRule="exact"/>
        <w:rPr>
          <w:rFonts w:ascii="Times New Roman" w:hAnsi="方正仿宋简体" w:eastAsia="方正仿宋简体" w:cs="Times New Roman"/>
          <w:b w:val="0"/>
          <w:bCs w:val="0"/>
          <w:sz w:val="32"/>
          <w:szCs w:val="32"/>
        </w:rPr>
      </w:pPr>
      <w:r>
        <w:rPr>
          <w:rFonts w:hint="eastAsia" w:ascii="方正仿宋简体" w:hAnsi="方正仿宋简体" w:eastAsia="方正仿宋简体" w:cs="方正仿宋简体"/>
          <w:b w:val="0"/>
          <w:bCs w:val="0"/>
          <w:sz w:val="32"/>
          <w:szCs w:val="32"/>
        </w:rPr>
        <w:t xml:space="preserve">   </w:t>
      </w:r>
      <w:r>
        <w:rPr>
          <w:rFonts w:ascii="Times New Roman" w:hAnsi="Times New Roman" w:eastAsia="方正仿宋简体" w:cs="Times New Roman"/>
          <w:b w:val="0"/>
          <w:bCs w:val="0"/>
          <w:sz w:val="32"/>
          <w:szCs w:val="32"/>
        </w:rPr>
        <w:t xml:space="preserve"> </w:t>
      </w:r>
      <w:r>
        <w:rPr>
          <w:rFonts w:ascii="Times New Roman" w:hAnsi="方正仿宋简体" w:eastAsia="方正仿宋简体" w:cs="Times New Roman"/>
          <w:b w:val="0"/>
          <w:bCs w:val="0"/>
          <w:sz w:val="32"/>
          <w:szCs w:val="32"/>
        </w:rPr>
        <w:t>（</w:t>
      </w:r>
      <w:r>
        <w:rPr>
          <w:rFonts w:ascii="Times New Roman" w:hAnsi="Times New Roman" w:eastAsia="方正仿宋简体" w:cs="Times New Roman"/>
          <w:b w:val="0"/>
          <w:bCs w:val="0"/>
          <w:sz w:val="32"/>
          <w:szCs w:val="32"/>
        </w:rPr>
        <w:t>1</w:t>
      </w:r>
      <w:r>
        <w:rPr>
          <w:rFonts w:ascii="Times New Roman" w:hAnsi="方正仿宋简体" w:eastAsia="方正仿宋简体" w:cs="Times New Roman"/>
          <w:b w:val="0"/>
          <w:bCs w:val="0"/>
          <w:sz w:val="32"/>
          <w:szCs w:val="32"/>
        </w:rPr>
        <w:t>）《福建省行政规范性文件备案审查办法》（福建省人民政府令第</w:t>
      </w:r>
      <w:r>
        <w:rPr>
          <w:rFonts w:ascii="Times New Roman" w:hAnsi="Times New Roman" w:eastAsia="方正仿宋简体" w:cs="Times New Roman"/>
          <w:b w:val="0"/>
          <w:bCs w:val="0"/>
          <w:sz w:val="32"/>
          <w:szCs w:val="32"/>
        </w:rPr>
        <w:t>219</w:t>
      </w:r>
      <w:r>
        <w:rPr>
          <w:rFonts w:ascii="Times New Roman" w:hAnsi="方正仿宋简体" w:eastAsia="方正仿宋简体" w:cs="Times New Roman"/>
          <w:b w:val="0"/>
          <w:bCs w:val="0"/>
          <w:sz w:val="32"/>
          <w:szCs w:val="32"/>
        </w:rPr>
        <w:t>号）</w:t>
      </w:r>
    </w:p>
    <w:p w14:paraId="1403B91E">
      <w:pPr>
        <w:pStyle w:val="3"/>
        <w:shd w:val="clear" w:color="auto"/>
        <w:spacing w:before="0" w:beforeAutospacing="0" w:after="0" w:afterAutospacing="0" w:line="520" w:lineRule="exact"/>
        <w:ind w:firstLine="640" w:firstLineChars="200"/>
        <w:rPr>
          <w:rFonts w:ascii="Times New Roman" w:hAnsi="Times New Roman" w:eastAsia="方正仿宋简体"/>
          <w:sz w:val="32"/>
          <w:szCs w:val="32"/>
        </w:rPr>
      </w:pPr>
      <w:r>
        <w:rPr>
          <w:rFonts w:ascii="Times New Roman" w:hAnsi="Times New Roman" w:eastAsia="方正仿宋简体"/>
          <w:b w:val="0"/>
          <w:sz w:val="32"/>
        </w:rPr>
        <w:t>（2）</w:t>
      </w:r>
      <w:r>
        <w:rPr>
          <w:rFonts w:ascii="Times New Roman" w:eastAsia="方正仿宋简体"/>
          <w:b w:val="0"/>
          <w:sz w:val="32"/>
          <w:szCs w:val="32"/>
        </w:rPr>
        <w:t>《泉州市人民政府关于印发泉州市行政规范性文件</w:t>
      </w:r>
      <w:r>
        <w:rPr>
          <w:rFonts w:ascii="Times New Roman" w:hAnsi="Times New Roman" w:eastAsia="方正仿宋简体"/>
          <w:b w:val="0"/>
          <w:sz w:val="32"/>
          <w:szCs w:val="32"/>
        </w:rPr>
        <w:t>管理规定的通知》（</w:t>
      </w:r>
      <w:r>
        <w:rPr>
          <w:rFonts w:ascii="Times New Roman" w:hAnsi="方正仿宋简体" w:eastAsia="方正仿宋简体"/>
          <w:b w:val="0"/>
          <w:sz w:val="32"/>
          <w:szCs w:val="32"/>
        </w:rPr>
        <w:t>泉政规〔</w:t>
      </w:r>
      <w:r>
        <w:rPr>
          <w:rFonts w:ascii="Times New Roman" w:hAnsi="Times New Roman" w:eastAsia="方正仿宋简体"/>
          <w:b w:val="0"/>
          <w:sz w:val="32"/>
          <w:szCs w:val="32"/>
        </w:rPr>
        <w:t>2022</w:t>
      </w:r>
      <w:r>
        <w:rPr>
          <w:rFonts w:ascii="Times New Roman" w:hAnsi="方正仿宋简体" w:eastAsia="方正仿宋简体"/>
          <w:b w:val="0"/>
          <w:sz w:val="32"/>
          <w:szCs w:val="32"/>
        </w:rPr>
        <w:t>〕</w:t>
      </w:r>
      <w:r>
        <w:rPr>
          <w:rFonts w:ascii="Times New Roman" w:hAnsi="Times New Roman" w:eastAsia="方正仿宋简体"/>
          <w:b w:val="0"/>
          <w:sz w:val="32"/>
          <w:szCs w:val="32"/>
        </w:rPr>
        <w:t>3</w:t>
      </w:r>
      <w:r>
        <w:rPr>
          <w:rFonts w:ascii="Times New Roman" w:hAnsi="方正仿宋简体" w:eastAsia="方正仿宋简体"/>
          <w:b w:val="0"/>
          <w:sz w:val="32"/>
          <w:szCs w:val="32"/>
        </w:rPr>
        <w:t>号）</w:t>
      </w:r>
    </w:p>
    <w:p w14:paraId="416ACF2D">
      <w:pPr>
        <w:spacing w:line="520" w:lineRule="exact"/>
        <w:ind w:firstLine="640" w:firstLineChars="200"/>
        <w:rPr>
          <w:rFonts w:ascii="方正黑体" w:hAnsi="方正黑体" w:eastAsia="方正黑体" w:cs="方正黑体"/>
          <w:sz w:val="32"/>
          <w:szCs w:val="32"/>
        </w:rPr>
      </w:pPr>
      <w:r>
        <w:rPr>
          <w:rFonts w:hint="eastAsia" w:ascii="方正黑体" w:hAnsi="方正黑体" w:eastAsia="方正黑体" w:cs="方正黑体"/>
          <w:sz w:val="32"/>
          <w:szCs w:val="32"/>
        </w:rPr>
        <w:t>二、主要内容</w:t>
      </w:r>
    </w:p>
    <w:p w14:paraId="4DC29582">
      <w:pPr>
        <w:spacing w:line="520" w:lineRule="exact"/>
        <w:ind w:firstLine="640" w:firstLineChars="200"/>
        <w:rPr>
          <w:rFonts w:ascii="Times New Roman" w:hAnsi="Times New Roman" w:eastAsia="方正仿宋简体"/>
          <w:sz w:val="32"/>
        </w:rPr>
      </w:pPr>
      <w:r>
        <w:rPr>
          <w:rFonts w:hint="eastAsia" w:ascii="Times New Roman" w:hAnsi="Times New Roman" w:eastAsia="方正仿宋简体"/>
          <w:sz w:val="32"/>
        </w:rPr>
        <w:t>1.简要阐述主要的制度设计和内容。</w:t>
      </w:r>
    </w:p>
    <w:p w14:paraId="0A1F8612">
      <w:pPr>
        <w:spacing w:line="520" w:lineRule="exact"/>
        <w:ind w:firstLine="640" w:firstLineChars="200"/>
        <w:rPr>
          <w:rFonts w:ascii="Times New Roman" w:hAnsi="Times New Roman" w:eastAsia="方正仿宋简体"/>
          <w:kern w:val="0"/>
          <w:sz w:val="32"/>
          <w:szCs w:val="32"/>
        </w:rPr>
      </w:pPr>
      <w:r>
        <w:rPr>
          <w:rFonts w:ascii="Times New Roman" w:hAnsi="方正仿宋简体" w:eastAsia="方正仿宋简体"/>
          <w:kern w:val="0"/>
          <w:sz w:val="32"/>
          <w:szCs w:val="32"/>
        </w:rPr>
        <w:t>本文件的主要内容是</w:t>
      </w:r>
      <w:r>
        <w:rPr>
          <w:rFonts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5</w:t>
      </w:r>
      <w:r>
        <w:rPr>
          <w:rFonts w:ascii="Times New Roman" w:hAnsi="方正仿宋简体" w:eastAsia="方正仿宋简体"/>
          <w:kern w:val="0"/>
          <w:sz w:val="32"/>
          <w:szCs w:val="32"/>
        </w:rPr>
        <w:t>年度</w:t>
      </w:r>
      <w:r>
        <w:rPr>
          <w:rFonts w:hint="eastAsia" w:ascii="Times New Roman" w:hAnsi="方正仿宋简体" w:eastAsia="方正仿宋简体"/>
          <w:kern w:val="0"/>
          <w:sz w:val="32"/>
          <w:szCs w:val="32"/>
        </w:rPr>
        <w:t>鲤城</w:t>
      </w:r>
      <w:r>
        <w:rPr>
          <w:rFonts w:ascii="Times New Roman" w:hAnsi="方正仿宋简体" w:eastAsia="方正仿宋简体"/>
          <w:kern w:val="0"/>
          <w:sz w:val="32"/>
          <w:szCs w:val="32"/>
        </w:rPr>
        <w:t>区</w:t>
      </w:r>
      <w:r>
        <w:rPr>
          <w:rFonts w:hint="eastAsia" w:ascii="Times New Roman" w:hAnsi="方正仿宋简体" w:eastAsia="方正仿宋简体"/>
          <w:kern w:val="0"/>
          <w:sz w:val="32"/>
          <w:szCs w:val="32"/>
          <w:lang w:eastAsia="zh-CN"/>
        </w:rPr>
        <w:t>教育局</w:t>
      </w:r>
      <w:r>
        <w:rPr>
          <w:rFonts w:ascii="Times New Roman" w:hAnsi="方正仿宋简体" w:eastAsia="方正仿宋简体"/>
          <w:kern w:val="0"/>
          <w:sz w:val="32"/>
          <w:szCs w:val="32"/>
        </w:rPr>
        <w:t>规范性文件的清理结果，</w:t>
      </w:r>
      <w:r>
        <w:rPr>
          <w:rFonts w:hint="eastAsia" w:ascii="Times New Roman" w:hAnsi="Times New Roman" w:eastAsia="方正仿宋简体"/>
          <w:sz w:val="32"/>
          <w:szCs w:val="18"/>
        </w:rPr>
        <w:t>主要包括两部分内容</w:t>
      </w:r>
      <w:r>
        <w:rPr>
          <w:rFonts w:hint="eastAsia" w:ascii="Times New Roman" w:hAnsi="方正仿宋简体" w:eastAsia="方正仿宋简体"/>
          <w:kern w:val="0"/>
          <w:sz w:val="32"/>
          <w:szCs w:val="32"/>
        </w:rPr>
        <w:t>：</w:t>
      </w:r>
      <w:r>
        <w:rPr>
          <w:rFonts w:hint="eastAsia" w:ascii="Times New Roman" w:hAnsi="Times New Roman" w:eastAsia="方正仿宋简体"/>
          <w:spacing w:val="-11"/>
          <w:sz w:val="32"/>
          <w:szCs w:val="32"/>
        </w:rPr>
        <w:t>保留（继续有效）的行政规范性文件</w:t>
      </w:r>
      <w:r>
        <w:rPr>
          <w:rFonts w:hint="eastAsia" w:ascii="Times New Roman" w:hAnsi="Times New Roman" w:eastAsia="方正仿宋简体"/>
          <w:spacing w:val="-11"/>
          <w:sz w:val="32"/>
          <w:szCs w:val="32"/>
          <w:lang w:val="en-US" w:eastAsia="zh-CN"/>
        </w:rPr>
        <w:t>2</w:t>
      </w:r>
      <w:r>
        <w:rPr>
          <w:rFonts w:hint="eastAsia" w:ascii="Times New Roman" w:hAnsi="Times New Roman" w:eastAsia="方正仿宋简体"/>
          <w:spacing w:val="-11"/>
          <w:sz w:val="32"/>
          <w:szCs w:val="32"/>
        </w:rPr>
        <w:t>件</w:t>
      </w:r>
      <w:r>
        <w:rPr>
          <w:rFonts w:hint="eastAsia" w:ascii="Times New Roman" w:hAnsi="方正仿宋简体" w:eastAsia="方正仿宋简体"/>
          <w:kern w:val="0"/>
          <w:sz w:val="32"/>
          <w:szCs w:val="32"/>
        </w:rPr>
        <w:t>及</w:t>
      </w:r>
      <w:r>
        <w:rPr>
          <w:rFonts w:hint="eastAsia" w:ascii="Times New Roman" w:hAnsi="Times New Roman" w:eastAsia="方正仿宋简体"/>
          <w:spacing w:val="-11"/>
          <w:sz w:val="32"/>
          <w:szCs w:val="32"/>
        </w:rPr>
        <w:t>宣布失效（废止）的行政规范性文件</w:t>
      </w:r>
      <w:r>
        <w:rPr>
          <w:rFonts w:hint="eastAsia" w:ascii="Times New Roman" w:hAnsi="Times New Roman" w:eastAsia="方正仿宋简体"/>
          <w:spacing w:val="-11"/>
          <w:sz w:val="32"/>
          <w:szCs w:val="32"/>
          <w:lang w:val="en-US" w:eastAsia="zh-CN"/>
        </w:rPr>
        <w:t>1</w:t>
      </w:r>
      <w:r>
        <w:rPr>
          <w:rFonts w:hint="eastAsia" w:ascii="Times New Roman" w:hAnsi="Times New Roman" w:eastAsia="方正仿宋简体"/>
          <w:spacing w:val="-11"/>
          <w:sz w:val="32"/>
          <w:szCs w:val="32"/>
        </w:rPr>
        <w:t>件</w:t>
      </w:r>
      <w:r>
        <w:rPr>
          <w:rFonts w:ascii="Times New Roman" w:hAnsi="方正仿宋简体" w:eastAsia="方正仿宋简体"/>
          <w:kern w:val="0"/>
          <w:sz w:val="32"/>
          <w:szCs w:val="32"/>
        </w:rPr>
        <w:t>。</w:t>
      </w:r>
    </w:p>
    <w:p w14:paraId="519FEEFD">
      <w:pPr>
        <w:spacing w:line="520" w:lineRule="exact"/>
        <w:ind w:firstLine="640" w:firstLineChars="200"/>
        <w:rPr>
          <w:rFonts w:ascii="Times New Roman" w:hAnsi="Times New Roman" w:eastAsia="方正仿宋简体"/>
          <w:sz w:val="32"/>
        </w:rPr>
      </w:pPr>
      <w:r>
        <w:rPr>
          <w:rFonts w:hint="eastAsia" w:ascii="Times New Roman" w:hAnsi="Times New Roman" w:eastAsia="方正仿宋简体"/>
          <w:sz w:val="32"/>
        </w:rPr>
        <w:t>2.重点阐述涉及自然人、法人和非法人组织权利义务内容的规定和依据。</w:t>
      </w:r>
    </w:p>
    <w:p w14:paraId="368B1BE2">
      <w:pPr>
        <w:widowControl/>
        <w:autoSpaceDE w:val="0"/>
        <w:spacing w:line="520" w:lineRule="exact"/>
        <w:ind w:firstLine="640" w:firstLineChars="200"/>
        <w:jc w:val="left"/>
        <w:rPr>
          <w:rFonts w:ascii="Times New Roman" w:hAnsi="Times New Roman" w:eastAsia="方正仿宋简体"/>
          <w:sz w:val="32"/>
        </w:rPr>
      </w:pPr>
      <w:r>
        <w:rPr>
          <w:rFonts w:hint="eastAsia" w:ascii="Times New Roman" w:hAnsi="Times New Roman" w:eastAsia="方正仿宋简体"/>
          <w:sz w:val="32"/>
        </w:rPr>
        <w:t>本次清理宣布失效或废止的行政规范性文件，自本通告公布之日起不再执行，不再作为行政管理依据</w:t>
      </w:r>
    </w:p>
    <w:p w14:paraId="76A0C9AF">
      <w:pPr>
        <w:spacing w:line="520" w:lineRule="exact"/>
        <w:ind w:firstLine="640" w:firstLineChars="200"/>
        <w:rPr>
          <w:rFonts w:ascii="Times New Roman" w:hAnsi="Times New Roman" w:eastAsia="方正仿宋简体"/>
          <w:sz w:val="32"/>
        </w:rPr>
      </w:pPr>
      <w:r>
        <w:rPr>
          <w:rFonts w:hint="eastAsia" w:ascii="Times New Roman" w:hAnsi="Times New Roman" w:eastAsia="方正仿宋简体"/>
          <w:sz w:val="32"/>
        </w:rPr>
        <w:t>3.重点阐述对上位法和有关规范性文件所作出的具体细化和创设性规定的内容和理由。</w:t>
      </w:r>
    </w:p>
    <w:p w14:paraId="50E084C3">
      <w:pPr>
        <w:spacing w:line="520" w:lineRule="exact"/>
        <w:ind w:firstLine="640" w:firstLineChars="200"/>
        <w:rPr>
          <w:rFonts w:ascii="Times New Roman" w:hAnsi="Times New Roman" w:eastAsia="方正仿宋简体"/>
          <w:sz w:val="32"/>
        </w:rPr>
      </w:pPr>
      <w:r>
        <w:rPr>
          <w:rFonts w:hint="eastAsia" w:ascii="Times New Roman" w:hAnsi="Times New Roman" w:eastAsia="方正仿宋简体"/>
          <w:sz w:val="32"/>
        </w:rPr>
        <w:t>本文根据行政规范性文件相关规定，结合鲤城区</w:t>
      </w:r>
      <w:r>
        <w:rPr>
          <w:rFonts w:hint="eastAsia" w:ascii="Times New Roman" w:hAnsi="Times New Roman" w:eastAsia="方正仿宋简体"/>
          <w:sz w:val="32"/>
          <w:lang w:eastAsia="zh-CN"/>
        </w:rPr>
        <w:t>教育局</w:t>
      </w:r>
      <w:r>
        <w:rPr>
          <w:rFonts w:hint="eastAsia" w:ascii="Times New Roman" w:hAnsi="Times New Roman" w:eastAsia="方正仿宋简体"/>
          <w:sz w:val="32"/>
        </w:rPr>
        <w:t>实际情况，对本区现行有效的规范性文件进行清理。</w:t>
      </w:r>
    </w:p>
    <w:p w14:paraId="3E1EE813">
      <w:pPr>
        <w:spacing w:line="520" w:lineRule="exact"/>
        <w:ind w:firstLine="640" w:firstLineChars="200"/>
        <w:rPr>
          <w:rFonts w:ascii="Times New Roman" w:hAnsi="Times New Roman" w:eastAsia="方正仿宋简体"/>
          <w:sz w:val="32"/>
        </w:rPr>
      </w:pPr>
      <w:r>
        <w:rPr>
          <w:rFonts w:hint="eastAsia" w:ascii="Times New Roman" w:hAnsi="Times New Roman" w:eastAsia="方正仿宋简体"/>
          <w:sz w:val="32"/>
        </w:rPr>
        <w:t>4.其他需要说明的问题</w:t>
      </w:r>
    </w:p>
    <w:p w14:paraId="5AECFC18">
      <w:pPr>
        <w:spacing w:line="520" w:lineRule="exact"/>
        <w:ind w:firstLine="640" w:firstLineChars="200"/>
        <w:rPr>
          <w:rFonts w:hint="eastAsia" w:ascii="Times New Roman" w:hAnsi="Times New Roman" w:eastAsia="方正仿宋简体"/>
          <w:sz w:val="32"/>
        </w:rPr>
      </w:pPr>
      <w:r>
        <w:rPr>
          <w:rFonts w:hint="eastAsia" w:ascii="Times New Roman" w:hAnsi="Times New Roman" w:eastAsia="方正仿宋简体"/>
          <w:sz w:val="32"/>
        </w:rPr>
        <w:t>无。</w:t>
      </w:r>
    </w:p>
    <w:p w14:paraId="393AA66C">
      <w:pPr>
        <w:pStyle w:val="2"/>
        <w:rPr>
          <w:rFonts w:hint="eastAsia" w:ascii="方正小标宋简体" w:hAnsi="方正小标宋简体" w:eastAsia="方正小标宋简体" w:cs="方正小标宋简体"/>
          <w:b w:val="0"/>
          <w:bCs w:val="0"/>
          <w:i w:val="0"/>
          <w:iCs w:val="0"/>
          <w:caps w:val="0"/>
          <w:color w:val="333333"/>
          <w:spacing w:val="0"/>
          <w:kern w:val="0"/>
          <w:sz w:val="44"/>
          <w:szCs w:val="44"/>
          <w:lang w:val="en-US" w:eastAsia="zh-CN" w:bidi="ar"/>
        </w:rPr>
      </w:pPr>
    </w:p>
    <w:sectPr>
      <w:pgSz w:w="11906" w:h="16838"/>
      <w:pgMar w:top="1531"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黑体">
    <w:altName w:val="黑体"/>
    <w:panose1 w:val="00000000000000000000"/>
    <w:charset w:val="86"/>
    <w:family w:val="auto"/>
    <w:pitch w:val="default"/>
    <w:sig w:usb0="00000000" w:usb1="0000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C70C1"/>
    <w:rsid w:val="6CAC7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5"/>
    <w:basedOn w:val="1"/>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2025-12-18T01:36:00Z</dcterms:created>
  <dc:creator>荟纸儿</dc:creator>
  <cp:lastModifiedBy>荟纸儿</cp:lastModifiedBy>
  <dcterms:modified xsi:type="dcterms:W3CDTF">2025-12-18T01:48:25Z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6BE5C1E7F7324A1FA9610CDE8BC7FC7B_11</vt:lpwstr>
  </property>
  <property fmtid="{D5CDD505-2E9C-101B-9397-08002B2CF9AE}" pid="4" name="KSOTemplateDocerSaveRecord">
    <vt:lpwstr>eyJoZGlkIjoiMTM3ZDVkYmE5ZjBjYzMwYTI3YjRlNDgwODZkNzQ1YjUiLCJ1c2VySWQiOiIzNDg2Mzg5MzUifQ==</vt:lpwstr>
  </property>
</Properties>
</file>