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泉州市鲤城区民政局关于公布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44"/>
        </w:rPr>
        <w:t>年度行政规范性文件清理结果的通告</w:t>
      </w:r>
    </w:p>
    <w:p>
      <w:pPr>
        <w:pStyle w:val="2"/>
        <w:ind w:left="0" w:leftChars="0" w:firstLine="0" w:firstLineChars="0"/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（征求意见稿）</w:t>
      </w:r>
    </w:p>
    <w:bookmarkEnd w:id="0"/>
    <w:p>
      <w:pPr>
        <w:pStyle w:val="2"/>
        <w:ind w:left="0" w:leftChars="0" w:firstLine="0" w:firstLineChars="0"/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jc w:val="center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机关各股室，下属各单位：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　　根据《福建省行政规范性文件备案审查办法》（省政府令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219号）、《泉州市人民政府关于印发泉州市行政规范性文件管理规定的通知》（泉政规〔2022〕3号）有关规定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我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对以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泉州市鲤城区民政局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名义发布的现行有效行政规范性文件进行清理，清理结果现公布如下：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3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一、保留（继续有效）的行政规范性文件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件（详见附件1）；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3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二、宣布失效（废止）的行政规范性文件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件（详见附件2）。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3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宣布失效或废止的行政规范性文件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自本通告公布之日起不再执行，不得作为行政管理依据。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特此通告。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1.保留（继续有效）的行政规范性文件目录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宣布失效（废止）的行政规范性文件目录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泉州市鲤城区民政局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日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（此件主动公开）</w:t>
      </w:r>
    </w:p>
    <w:p>
      <w:pPr>
        <w:spacing w:line="590" w:lineRule="exact"/>
        <w:ind w:right="108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br w:type="page"/>
      </w: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1</w:t>
      </w:r>
    </w:p>
    <w:p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p>
      <w:pPr>
        <w:spacing w:line="590" w:lineRule="exact"/>
        <w:ind w:right="108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保留（继续有效）的行政规范性文件目录</w:t>
      </w:r>
    </w:p>
    <w:p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6199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tblHeader/>
          <w:jc w:val="center"/>
        </w:trPr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规范性文件名称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default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  <w:t>泉州市鲤城区民政局等</w:t>
            </w:r>
            <w:r>
              <w:rPr>
                <w:rFonts w:hint="eastAsia" w:ascii="Times New Roman" w:hAnsi="Times New Roman" w:eastAsia="方正仿宋简体"/>
                <w:kern w:val="2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  <w:t>部门关于印发《进一步加强事实无人抚养儿童保障工作实施意见》的函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  <w:t>泉鲤民函〔</w:t>
            </w:r>
            <w:r>
              <w:rPr>
                <w:rFonts w:hint="eastAsia" w:ascii="Times New Roman" w:hAnsi="Times New Roman" w:eastAsia="方正仿宋简体"/>
                <w:kern w:val="2"/>
                <w:sz w:val="24"/>
                <w:szCs w:val="24"/>
                <w:lang w:val="en-US" w:eastAsia="zh-CN" w:bidi="ar-SA"/>
              </w:rPr>
              <w:t>2020</w:t>
            </w:r>
            <w:r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  <w:t>〕</w:t>
            </w:r>
            <w:r>
              <w:rPr>
                <w:rFonts w:hint="eastAsia" w:ascii="Times New Roman" w:hAnsi="Times New Roman" w:eastAsia="方正仿宋简体"/>
                <w:kern w:val="2"/>
                <w:sz w:val="24"/>
                <w:szCs w:val="24"/>
                <w:lang w:val="en-US" w:eastAsia="zh-CN" w:bidi="ar-SA"/>
              </w:rPr>
              <w:t>24</w:t>
            </w:r>
            <w:r>
              <w:rPr>
                <w:rFonts w:hint="eastAsia" w:eastAsia="方正仿宋简体"/>
                <w:kern w:val="2"/>
                <w:sz w:val="24"/>
                <w:szCs w:val="24"/>
                <w:lang w:val="en-US" w:eastAsia="zh-CN" w:bidi="ar-SA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</w:rPr>
              <w:t>泉州市鲤城区民政局 中共泉州市鲤城区委精神文明建设办公室 泉州市鲤城区财政局关于推进落实文明治丧革新的实施方案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</w:rPr>
              <w:t>泉鲤民规〔2022〕94号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5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00" w:lineRule="exact"/>
              <w:jc w:val="center"/>
              <w:textAlignment w:val="auto"/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pacing w:val="-8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spacing w:val="-8"/>
                <w:kern w:val="0"/>
                <w:sz w:val="24"/>
              </w:rPr>
              <w:t>鲤城区民政局 鲤城区财政局关于进一步规范临时救助工作的实施意见</w:t>
            </w:r>
          </w:p>
        </w:tc>
        <w:tc>
          <w:tcPr>
            <w:tcW w:w="10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spacing w:val="-8"/>
                <w:kern w:val="0"/>
                <w:sz w:val="24"/>
              </w:rPr>
              <w:t>泉鲤民规〔</w:t>
            </w:r>
            <w:r>
              <w:rPr>
                <w:rFonts w:hint="eastAsia" w:ascii="Times New Roman" w:hAnsi="Times New Roman" w:eastAsia="方正仿宋简体"/>
                <w:color w:val="000000"/>
                <w:spacing w:val="-8"/>
                <w:kern w:val="0"/>
                <w:sz w:val="24"/>
              </w:rPr>
              <w:t>2022</w:t>
            </w:r>
            <w:r>
              <w:rPr>
                <w:rFonts w:hint="eastAsia" w:eastAsia="方正仿宋简体"/>
                <w:color w:val="000000"/>
                <w:spacing w:val="-8"/>
                <w:kern w:val="0"/>
                <w:sz w:val="24"/>
              </w:rPr>
              <w:t>〕</w:t>
            </w:r>
            <w:r>
              <w:rPr>
                <w:rFonts w:hint="eastAsia" w:ascii="Times New Roman" w:hAnsi="Times New Roman" w:eastAsia="方正仿宋简体"/>
                <w:color w:val="000000"/>
                <w:spacing w:val="-8"/>
                <w:kern w:val="0"/>
                <w:sz w:val="24"/>
              </w:rPr>
              <w:t>95</w:t>
            </w:r>
            <w:r>
              <w:rPr>
                <w:rFonts w:hint="eastAsia" w:eastAsia="方正仿宋简体"/>
                <w:color w:val="000000"/>
                <w:spacing w:val="-8"/>
                <w:kern w:val="0"/>
                <w:sz w:val="24"/>
              </w:rPr>
              <w:t>号</w:t>
            </w:r>
          </w:p>
        </w:tc>
      </w:tr>
    </w:tbl>
    <w:p>
      <w:pPr>
        <w:spacing w:after="156" w:afterLines="50" w:line="590" w:lineRule="exact"/>
        <w:rPr>
          <w:rFonts w:hint="eastAsia" w:ascii="方正楷体简体" w:hAnsi="方正楷体简体" w:eastAsia="方正楷体简体" w:cs="方正楷体简体"/>
          <w:color w:val="000000"/>
          <w:sz w:val="32"/>
          <w:szCs w:val="32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5" w:h="16838"/>
          <w:pgMar w:top="1871" w:right="1474" w:bottom="1928" w:left="1474" w:header="851" w:footer="992" w:gutter="0"/>
          <w:paperSrc/>
          <w:pgNumType w:fmt="decimal" w:start="1"/>
          <w:cols w:space="720" w:num="1"/>
          <w:rtlGutter w:val="0"/>
          <w:docGrid w:type="linesAndChars" w:linePitch="312" w:charSpace="0"/>
        </w:sectPr>
      </w:pPr>
    </w:p>
    <w:p>
      <w:pPr>
        <w:spacing w:line="500" w:lineRule="exact"/>
        <w:ind w:right="108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2</w:t>
      </w:r>
    </w:p>
    <w:p>
      <w:pPr>
        <w:pStyle w:val="2"/>
        <w:rPr>
          <w:rFonts w:hint="eastAsia"/>
          <w:sz w:val="32"/>
          <w:szCs w:val="32"/>
        </w:rPr>
      </w:pPr>
    </w:p>
    <w:p>
      <w:pPr>
        <w:spacing w:line="500" w:lineRule="exact"/>
        <w:ind w:right="108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/>
          <w:color w:val="000000"/>
          <w:sz w:val="44"/>
          <w:szCs w:val="44"/>
        </w:rPr>
        <w:t>宣布失效（废止）的行政规范性文件目录</w:t>
      </w:r>
    </w:p>
    <w:p>
      <w:pPr>
        <w:pStyle w:val="2"/>
        <w:rPr>
          <w:rFonts w:hint="eastAsia"/>
          <w:sz w:val="32"/>
          <w:szCs w:val="32"/>
        </w:rPr>
      </w:pP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6200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tblHeader/>
          <w:jc w:val="center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序号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规范性文件名称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</w:pPr>
            <w:r>
              <w:rPr>
                <w:rFonts w:hint="eastAsia" w:ascii="方正仿宋简体" w:eastAsia="方正仿宋简体"/>
                <w:b/>
                <w:bCs/>
                <w:color w:val="000000"/>
                <w:sz w:val="24"/>
              </w:rPr>
              <w:t>文号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  <w:jc w:val="center"/>
        </w:trPr>
        <w:tc>
          <w:tcPr>
            <w:tcW w:w="51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338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简体" w:cs="Times New Roman"/>
                <w:spacing w:val="-8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</w:rPr>
              <w:t>泉州市鲤城区民政局关于公布2023年度行政规范性文件清理结果的通告</w:t>
            </w:r>
          </w:p>
        </w:tc>
        <w:tc>
          <w:tcPr>
            <w:tcW w:w="110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pacing w:val="-8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pacing w:val="-8"/>
                <w:kern w:val="0"/>
                <w:sz w:val="24"/>
              </w:rPr>
              <w:t>泉鲤民规〔2024〕1号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</w:pPr>
    </w:p>
    <w:sectPr>
      <w:footerReference r:id="rId7" w:type="default"/>
      <w:pgSz w:w="11905" w:h="16838"/>
      <w:pgMar w:top="1871" w:right="1474" w:bottom="1928" w:left="1474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宋体-PU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07440" cy="2305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744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7.2pt;mso-position-horizontal:outside;mso-position-horizontal-relative:margin;z-index:251660288;mso-width-relative:page;mso-height-relative:page;" filled="f" stroked="f" coordsize="21600,21600" o:gfxdata="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WAAAAZHJzL1BLAQIUABQAAAAIAIdO4kA2&#10;B+2f1AAAAAQBAAAPAAAAAAAAAAEAIAAAADgAAABkcnMvZG93bnJldi54bWxQSwECFAAUAAAACACH&#10;TuJAOclvutkBAAClAwAADgAAAAAAAAABACAAAAA5AQAAZHJzL2Uyb0RvYy54bWxQSwUGAAAAAAYA&#10;BgBZAQAAh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059815" cy="23050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981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8.15pt;width:83.45pt;mso-position-horizontal-relative:margin;z-index:251661312;mso-width-relative:page;mso-height-relative:page;" filled="f" stroked="f" coordsize="21600,21600" o:gfxdata="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KaCzjLUAAAABAEAAA8AAAAAAAAAAQAg&#10;AAAAOAAAAGRycy9kb3ducmV2LnhtbFBLAQIUABQAAAAIAIdO4kBZ/8Q6wwEAAIADAAAOAAAAAAAA&#10;AAEAIAAAADk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CzSVju0AAAAAUBAAAPAAAAAAAAAAEAIAAAADgAAABkcnMvZG93bnJldi54bWxQSwEC&#10;FAAUAAAACACHTuJA7lQn5uYBAADHAwAADgAAAAAAAAABACAAAAA1AQAAZHJzL2Uyb0RvYy54bWxQ&#10;SwUGAAAAAAYABgBZAQAAj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246"/>
      </w:tabs>
      <w:jc w:val="left"/>
      <w:rPr>
        <w:rFonts w:hint="eastAsia" w:eastAsia="Times New Roman"/>
      </w:rPr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4MGU5MTFjZjE5NDcxYTBiZjdjNzU4ZmJlYjc4YjIifQ=="/>
  </w:docVars>
  <w:rsids>
    <w:rsidRoot w:val="00881958"/>
    <w:rsid w:val="00496E0D"/>
    <w:rsid w:val="006A5FE9"/>
    <w:rsid w:val="00881958"/>
    <w:rsid w:val="009727D9"/>
    <w:rsid w:val="00C246A9"/>
    <w:rsid w:val="00D33D3B"/>
    <w:rsid w:val="00EC3D23"/>
    <w:rsid w:val="01C404DA"/>
    <w:rsid w:val="07026731"/>
    <w:rsid w:val="09652413"/>
    <w:rsid w:val="103436EA"/>
    <w:rsid w:val="104B17E4"/>
    <w:rsid w:val="1CDC7B67"/>
    <w:rsid w:val="223B221D"/>
    <w:rsid w:val="25164EC4"/>
    <w:rsid w:val="253416D6"/>
    <w:rsid w:val="31DBE809"/>
    <w:rsid w:val="327B402A"/>
    <w:rsid w:val="399FAFA9"/>
    <w:rsid w:val="3BEFE683"/>
    <w:rsid w:val="3C0A1B5C"/>
    <w:rsid w:val="3FF32645"/>
    <w:rsid w:val="42264E15"/>
    <w:rsid w:val="42710A18"/>
    <w:rsid w:val="445D2BF8"/>
    <w:rsid w:val="449E32A8"/>
    <w:rsid w:val="45A34284"/>
    <w:rsid w:val="4CFB2193"/>
    <w:rsid w:val="4ED900C3"/>
    <w:rsid w:val="51CC000B"/>
    <w:rsid w:val="535765B6"/>
    <w:rsid w:val="5EB85B54"/>
    <w:rsid w:val="5FD81A38"/>
    <w:rsid w:val="62594D0E"/>
    <w:rsid w:val="66AC60F5"/>
    <w:rsid w:val="68EA2649"/>
    <w:rsid w:val="692D4131"/>
    <w:rsid w:val="6DC452CC"/>
    <w:rsid w:val="6EC66318"/>
    <w:rsid w:val="6FCF2B3E"/>
    <w:rsid w:val="79D52BBB"/>
    <w:rsid w:val="7BFBFEC2"/>
    <w:rsid w:val="7BFD8735"/>
    <w:rsid w:val="7CBF1B46"/>
    <w:rsid w:val="7DFA79BE"/>
    <w:rsid w:val="7F252F0C"/>
    <w:rsid w:val="7F7DF63F"/>
    <w:rsid w:val="7FFF68AB"/>
    <w:rsid w:val="AF9DBAC7"/>
    <w:rsid w:val="B99D6CBB"/>
    <w:rsid w:val="E69711D3"/>
    <w:rsid w:val="EEB73934"/>
    <w:rsid w:val="F6FF992C"/>
    <w:rsid w:val="FFDF69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</Words>
  <Characters>536</Characters>
  <Lines>4</Lines>
  <Paragraphs>1</Paragraphs>
  <TotalTime>201.333333333333</TotalTime>
  <ScaleCrop>false</ScaleCrop>
  <LinksUpToDate>false</LinksUpToDate>
  <CharactersWithSpaces>629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2022-07-02T11:41:00Z</dcterms:created>
  <dc:creator>admin</dc:creator>
  <cp:lastModifiedBy>user</cp:lastModifiedBy>
  <cp:lastPrinted>2024-01-20T11:18:00Z</cp:lastPrinted>
  <dcterms:modified xsi:type="dcterms:W3CDTF">2024-12-26T16:32:50Z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23F52CF6E64A3688B2146D67386C5B9C</vt:lpwstr>
  </property>
</Properties>
</file>