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line="560" w:lineRule="exact"/>
        <w:ind w:left="0" w:right="2154" w:firstLine="0"/>
        <w:jc w:val="center"/>
        <w:rPr>
          <w:rFonts w:ascii="方正小标宋简体" w:hAnsi="方正小标宋简体" w:eastAsia="方正小标宋简体" w:cs="方正小标宋简体"/>
          <w:color w:val="231F20"/>
          <w:spacing w:val="-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spacing w:val="-9"/>
          <w:sz w:val="44"/>
          <w:szCs w:val="44"/>
        </w:rPr>
        <w:t>鲤城区市场监管领域部门联合抽查事项清单（</w:t>
      </w:r>
      <w:r>
        <w:rPr>
          <w:rFonts w:hint="eastAsia" w:ascii="方正小标宋简体" w:hAnsi="方正小标宋简体" w:eastAsia="方正小标宋简体" w:cs="方正小标宋简体"/>
          <w:color w:val="231F20"/>
          <w:spacing w:val="-9"/>
          <w:sz w:val="44"/>
          <w:szCs w:val="44"/>
          <w:lang w:eastAsia="zh-CN"/>
        </w:rPr>
        <w:t>第一</w:t>
      </w:r>
      <w:r>
        <w:rPr>
          <w:rFonts w:hint="eastAsia" w:ascii="方正小标宋简体" w:hAnsi="方正小标宋简体" w:eastAsia="方正小标宋简体" w:cs="方正小标宋简体"/>
          <w:color w:val="231F20"/>
          <w:spacing w:val="-9"/>
          <w:sz w:val="44"/>
          <w:szCs w:val="44"/>
        </w:rPr>
        <w:t>版）</w:t>
      </w:r>
      <w:bookmarkStart w:id="0" w:name="_GoBack"/>
      <w:bookmarkEnd w:id="0"/>
    </w:p>
    <w:p/>
    <w:tbl>
      <w:tblPr>
        <w:tblStyle w:val="8"/>
        <w:tblW w:w="14017" w:type="dxa"/>
        <w:jc w:val="center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69"/>
        <w:gridCol w:w="4530"/>
        <w:gridCol w:w="2295"/>
        <w:gridCol w:w="211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抽查领域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抽查事项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检查对象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发起部门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配合部门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工程咨询单位抽查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工程造价咨询企业抽查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工程造价咨询企业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区住建局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区农业农村局、区财政局、区市场监管局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学校办学情况抽查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中小学教育装备产品（含文体教育用品、教学仪器、校服等）检查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各类学校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区教育局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学校招生、办学情况的检查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区教育局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学校食堂食品安全情况的检查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校车交通安全检查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配备校车的学校和校车服务提供者履行校车安全管理职责情况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配备校车的中小学校和幼儿园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区教育局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鲤城公安分局、市交通综合执法支队执法二大队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校外培训机构抽查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培训内容、培训班次、招生对象、教师资格检查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面向中小学生的有办学许可证的校外培训机构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区教育局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其他经营行为检查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企业年度报告抽查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年度报告公示信息的检查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企业年报信息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区人社、区商务局、区统计局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常压液体危险货物从业单位监督检查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常压液体危险货物罐车生产企业检查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常压液体危险货物罐车生产企业和检验机构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市交通综合执法支队执法二大队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常压液体危险货物罐车检验机构检查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机动车检验机构检测情况抽查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机动车排放检验情况和设备使用情况检查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机动车排放检验单位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机动车安全性能检查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机动车安全检验机构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保安行业相关单位抽查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对保安服务公司、保安培训单位的的检查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保安行业相关单位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对自行招用保安员单位的检查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爆破作业单位抽查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民用爆破物仓储情况的检查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爆破作业单位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区应急局等市场监管领域相关部门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爆破作业单位有关制度情况检查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爆破作业单位作业情况的检查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宾馆、旅店监督抽查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宾馆、旅店取得许可证情况检查：公安负责检查宾馆、旅店是否按要求取得《特种行业许可证》以及项目变更情况，房间数、楼层数等与核定的情况是否一致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各类宾馆、旅店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区卫健局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区市场监管局、区商务局等相关部门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宾馆、旅店卫生情况的检查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区卫健局</w:t>
            </w: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36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宾馆、旅店治安安全情况检查：出入口、紧急通道畅通情况，安全指示、警示标志设置情况，防火、防盗设施安装情况；是否建立落实住宿验证登记、访客管理、贵重物品保管和值班巡查等安全管理制度；是否在旅馆内存放易燃易爆、剧毒、放射性等危险物品；是否按要求建立旅馆业治安管理信息系统，并落实有关制度和措施；是否按要求安装安全防范监控系统，监控室各项管理措施是否落实；有无淫秽色情表演、卖淫嫖娼、赌博、吸毒、贩毒以及其他违法犯罪活动。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</w:t>
            </w: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11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民用枪支经营使用单位抽查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射击运动枪支配置使用单位使用枪支情况的检查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民用枪支经营使用单位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区文体旅游局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狩猎队使用枪支情况的检查，是否依法取得狩猎证或按狩猎证相关要求进行猎捕野生动物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营业性射击场所枪支使用情况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12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涉消耗臭氧层物质（ODS）的生产、使用、销售、维修、回收、销毁及原料用途等企业和单位的监管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ODS生产、销售、使用活动的检查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ODS生产、销售、使用单位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区生态环境局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含ODS有关设备的维修报废、回收再利用或销毁等经营活动的检查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含ODS有关设备 维修报废、回收再利用或销毁等经营单位和个人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副产四氯化碳（CTC）的甲烷氯化物企业销售和处置CTC情况的检查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副产四氯化碳（CTC）的甲烷氯化物企业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使用ODS作为化工原料用途的企业的ODS采购和使用情况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使用ODS作为化工原料的企业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13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生态环境监测机构监督检查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生态环境监测机构开展监测情况的检查、对生态环境监测机构资质认定许可事项的监督检查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生态环境监测机构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区生态环境局、区市场监管局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14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市政工程监督检查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城镇污水处理设施污染防治情况的检查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城镇污水处理厂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区生态环境局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15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交通运输行业监管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道路危险货物运输企业检查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道路危险货物运输企业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市交通综合执法支队执法二大队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鲤城公安分局、区应急管理局、区市场监管局、区税务局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网约车平台企业经营行为检查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网约车平台企业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道路运输车辆达标管理情况检查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机动车综合性能检测站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spacing w:before="2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水路运输企业经营资质和经营行为检查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水路运输企业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项目参建单位原材料、构配件、混合料、工程实体等检验情况的检查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工程参建单位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16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农业转基因生物安全检查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农业转基因生物安全监督检查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从事农业转基因生物研究、试验、生产、加工、经营和进出口活动的单位和个人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区农业农村局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17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牲畜养殖加工情况检查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种畜禽质量监督检查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从事种畜禽生产经营的单位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区农业农村局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18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农业生产资料监管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农药监督检查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农药生产经营者、农药登记试验单位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区农业农村局</w:t>
            </w:r>
          </w:p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肥料监督检查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肥料生产经营者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种子监督检查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种子生产经营者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兽药监督检查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兽药生产经营、兽药使用单位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饲料、饲料添加剂监督抽查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饲料和饲料添加剂生产经营企业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19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水生野生动物养殖加工情况的检查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水生野生动物及其制品利用活动的监督检查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利用水生野生动物及其制品的事业单位、企业、社会组织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区自然资源局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20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林草种子生产经营检查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对生产经营设施、设备及专业技术人员；植物新品种引种；林木种子的品种、地点和经营范围；林木种子生产经营许可有效区域及设立分支机构；生产经营档案；林木种子标签保有及填写；林木种子质量；林木种子生产经营许可证（良种）等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林草种子生产经营者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区农业农村局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21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消防产品检查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使用领域消防产品质量监督检查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使用领域消防产品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区消防救援支队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22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影剧院、游艺厅等取得《娱乐场所许可证》企业检查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影剧院、录像厅（室）、游艺厅（室）、舞厅、音乐厅取得、公示相关许可证及其他情况的检查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影剧院、录像厅（室）、游艺厅（室）、舞厅、音乐厅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区文旅局、区卫健局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影剧院、录像厅（室）、游艺厅（室）、舞厅、音乐厅卫生状况及卫生制度的检查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区卫健局</w:t>
            </w: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23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经营性互联网文化单位的检查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经营性互联网文化单位经营情况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经营性互联网文化单位</w:t>
            </w:r>
          </w:p>
        </w:tc>
        <w:tc>
          <w:tcPr>
            <w:tcW w:w="2110" w:type="dxa"/>
            <w:vAlign w:val="center"/>
          </w:tcPr>
          <w:p>
            <w:pPr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区文旅局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鲤城公安分局、区税务局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24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营业性演出经营活动从业单位的检查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营业性演出经营活动从业单位取得许可证情况的检查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营业性演出从业单位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区文旅局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营业性演出经营活动从业单位经营情况的检查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25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艺术品经营单位的检查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艺术品经营单位从事艺术品经营活动的检查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艺术品经营单位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区文旅局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艺术品经营单位备案情况的检查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26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旅行社行业监管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旅行社取得许可证情况的检查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旅行社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区文旅局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区市场监管局、市交通综合执法支队执法二大队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旅行社经营情况的检查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通过网络经营旅行社业务抽查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发布旅游经营信息网站抽查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27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color w:val="231F20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工业企业安全生产情况的检查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工业企业取得安全生产许可证情况的检查及安全生产有关制度设置、落实等情况的检查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各类工业企业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区应急管理局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28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color w:val="231F20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房地产市场监督执法检查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房地产开发企业资质及市场行为监督管理；物业服务企业市场行为监督管理；房地产估价机构、房地产经纪机构及市场行为监督管理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房地产从业单位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区住建局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区自然资源局、区市场监管局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29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color w:val="231F20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建筑市场监督执法检查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项目建设单位发包行为、基本建设手续办理、合同履约情况的检查；施工单位承包分包行为、工程款支付、劳务实名制落实情况、合同履约情况的检查；参建各方行为检查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建筑市场从业单位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区住建局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30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科技项目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科技计划项目（高层次人才创新创业项目）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科技项目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区科技局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31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color w:val="231F20"/>
                <w:sz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单用途商业预付卡监督检查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单用途商业预付卡资金管理；单用途商业预付卡法律责任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单用途商业预付卡发卡企业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区商务局、区市场监管局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32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汽车市场监管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新车销售市场监管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新车销售市场经营主体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区商务局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区市场监管局、市发改局、区税务局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二手车市场监管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二手车交易市场、二手车经营主体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鲤城公安分局、区市场监管局、区税务局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报废机动车回收拆解活动监管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报废机动车回收拆解企业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鲤城公安分局、区市场监管局、区生态环境局、区发改局、市交通综合执法支队执法二大队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机动车环保信息公开检查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机动车销售企业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区生态环境局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机动车获得强制性产品认证情况检查</w:t>
            </w: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33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涉嫌税收违法当事人的抽查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涉嫌税收违法的纳税人、扣缴义务人和其他涉税当事人的检查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涉嫌税收违法当事人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区税务局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鲤城公安分局、区市场监管局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34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燃气经营监督执法检查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燃气经营许可证取得情况的检查；燃气经营监督执法检查；燃气管道等特种设备使用监督检查；站点日常消防安全检查；非法储存、倒灌、销售液化气行为查处；危险货物运输监管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燃气经营企业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区城市管理局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区市场监管局、鲤城公安分局、市交通综合执法支队执法二大队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35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出口商品生产企业的检查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检查企业海关备案基本信息情况；检查企业诚信情况；检查企业质量安全管理体系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出口商品生产企业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36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劳动用工监管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各类用人单位（与劳动者建立劳动关系）工资支付情况检查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各类用人单位（与劳动者建立劳动关系）</w:t>
            </w:r>
          </w:p>
        </w:tc>
        <w:tc>
          <w:tcPr>
            <w:tcW w:w="2110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区人社局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劳务派遣用工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劳务派遣相关单位</w:t>
            </w:r>
          </w:p>
        </w:tc>
        <w:tc>
          <w:tcPr>
            <w:tcW w:w="2110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37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养老服务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养老服务质量检查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养老服务机构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区民政局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38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经营高危险性体育项目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对游泳（场）馆、攀岩场地是否符合开放经营标准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游泳（场）馆、攀岩场地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区文体旅游局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区市场监管局、区卫健委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39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国家常规统计调查、部门统计调查、地方统计调查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调查对象依法设置原始记录、统计台账情况检查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统计调查对象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区统计局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市场监管领域相关部门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40</w:t>
            </w:r>
          </w:p>
        </w:tc>
        <w:tc>
          <w:tcPr>
            <w:tcW w:w="1769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类金融行业</w:t>
            </w:r>
          </w:p>
        </w:tc>
        <w:tc>
          <w:tcPr>
            <w:tcW w:w="453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类金融机构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合规经营</w:t>
            </w:r>
            <w:r>
              <w:rPr>
                <w:rFonts w:ascii="方正仿宋简体" w:hAnsi="方正仿宋简体" w:eastAsia="方正仿宋简体" w:cs="方正仿宋简体"/>
                <w:sz w:val="28"/>
                <w:szCs w:val="28"/>
              </w:rPr>
              <w:t>检查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类金融机构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区发改局</w:t>
            </w:r>
          </w:p>
        </w:tc>
        <w:tc>
          <w:tcPr>
            <w:tcW w:w="2505" w:type="dxa"/>
            <w:vAlign w:val="center"/>
          </w:tcPr>
          <w:p>
            <w:pPr>
              <w:pStyle w:val="4"/>
              <w:autoSpaceDE w:val="0"/>
              <w:autoSpaceDN w:val="0"/>
              <w:spacing w:before="2" w:line="400" w:lineRule="exac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区市场监管局</w:t>
            </w:r>
          </w:p>
        </w:tc>
      </w:tr>
    </w:tbl>
    <w:p/>
    <w:p>
      <w:pPr>
        <w:pStyle w:val="3"/>
      </w:pPr>
    </w:p>
    <w:p>
      <w:pPr>
        <w:ind w:firstLine="3300" w:firstLineChars="750"/>
        <w:rPr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D10"/>
    <w:rsid w:val="0009333C"/>
    <w:rsid w:val="00120A3D"/>
    <w:rsid w:val="00290F7F"/>
    <w:rsid w:val="003D3DD7"/>
    <w:rsid w:val="004757F4"/>
    <w:rsid w:val="005502FC"/>
    <w:rsid w:val="00720C3F"/>
    <w:rsid w:val="0078154A"/>
    <w:rsid w:val="00805B26"/>
    <w:rsid w:val="00B13DCD"/>
    <w:rsid w:val="00B72522"/>
    <w:rsid w:val="00B84182"/>
    <w:rsid w:val="00BD3FB8"/>
    <w:rsid w:val="00D30EEF"/>
    <w:rsid w:val="00D85333"/>
    <w:rsid w:val="00DE6D10"/>
    <w:rsid w:val="00FA3EF8"/>
    <w:rsid w:val="475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spacing w:before="44"/>
      <w:ind w:left="967" w:right="323" w:hanging="683"/>
      <w:outlineLvl w:val="0"/>
    </w:pPr>
    <w:rPr>
      <w:rFonts w:ascii="宋体" w:hAnsi="宋体" w:eastAsia="宋体" w:cs="宋体"/>
      <w:sz w:val="42"/>
      <w:szCs w:val="4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tLeast"/>
      <w:ind w:firstLine="420"/>
    </w:pPr>
    <w:rPr>
      <w:rFonts w:ascii="Verdana" w:hAnsi="Verdana" w:eastAsia="仿宋_GB2312" w:cs="宋体"/>
      <w:sz w:val="32"/>
      <w:szCs w:val="32"/>
    </w:rPr>
  </w:style>
  <w:style w:type="paragraph" w:styleId="4">
    <w:name w:val="Body Text"/>
    <w:basedOn w:val="1"/>
    <w:link w:val="12"/>
    <w:qFormat/>
    <w:uiPriority w:val="1"/>
    <w:rPr>
      <w:rFonts w:ascii="宋体" w:hAnsi="宋体" w:eastAsia="宋体" w:cs="宋体"/>
      <w:sz w:val="32"/>
      <w:szCs w:val="32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1"/>
    <w:rPr>
      <w:rFonts w:ascii="宋体" w:hAnsi="宋体" w:eastAsia="宋体" w:cs="宋体"/>
      <w:sz w:val="42"/>
      <w:szCs w:val="42"/>
    </w:rPr>
  </w:style>
  <w:style w:type="character" w:customStyle="1" w:styleId="12">
    <w:name w:val="正文文本 Char"/>
    <w:basedOn w:val="7"/>
    <w:link w:val="4"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641</Words>
  <Characters>3660</Characters>
  <Lines>30</Lines>
  <Paragraphs>8</Paragraphs>
  <TotalTime>1</TotalTime>
  <ScaleCrop>false</ScaleCrop>
  <LinksUpToDate>false</LinksUpToDate>
  <CharactersWithSpaces>4293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2024-08-29T03:37:00Z</dcterms:created>
  <dc:creator>刘启斌</dc:creator>
  <cp:lastModifiedBy>金默云</cp:lastModifiedBy>
  <dcterms:modified xsi:type="dcterms:W3CDTF">2024-09-06T03:39:23Z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