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附件1</w:t>
      </w:r>
    </w:p>
    <w:p>
      <w:pPr>
        <w:widowControl/>
        <w:shd w:val="clear" w:color="auto" w:fill="FFFFFF"/>
        <w:spacing w:line="600" w:lineRule="exact"/>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b/>
          <w:bCs/>
          <w:color w:val="333333"/>
          <w:kern w:val="0"/>
          <w:sz w:val="44"/>
          <w:szCs w:val="44"/>
        </w:rPr>
        <w:t>国家统计局关于印发《统计上大中小微型企业划分办法（</w:t>
      </w:r>
      <w:r>
        <w:rPr>
          <w:rFonts w:hint="eastAsia" w:ascii="方正小标宋简体" w:hAnsi="Times New Roman" w:eastAsia="方正小标宋简体"/>
          <w:b/>
          <w:bCs/>
          <w:color w:val="333333"/>
          <w:kern w:val="0"/>
          <w:sz w:val="44"/>
          <w:szCs w:val="44"/>
        </w:rPr>
        <w:t>2017</w:t>
      </w:r>
      <w:r>
        <w:rPr>
          <w:rFonts w:hint="eastAsia" w:ascii="方正小标宋简体" w:hAnsi="宋体" w:eastAsia="方正小标宋简体" w:cs="宋体"/>
          <w:b/>
          <w:bCs/>
          <w:color w:val="333333"/>
          <w:kern w:val="0"/>
          <w:sz w:val="44"/>
          <w:szCs w:val="44"/>
        </w:rPr>
        <w:t>）》的通知</w:t>
      </w:r>
    </w:p>
    <w:p>
      <w:pPr>
        <w:widowControl/>
        <w:shd w:val="clear" w:color="auto" w:fill="FFFFFF"/>
        <w:jc w:val="center"/>
        <w:rPr>
          <w:rFonts w:ascii="宋体" w:hAnsi="宋体" w:cs="宋体"/>
          <w:color w:val="333333"/>
          <w:kern w:val="0"/>
          <w:sz w:val="18"/>
          <w:szCs w:val="18"/>
        </w:rPr>
      </w:pPr>
      <w:r>
        <w:rPr>
          <w:rFonts w:hint="eastAsia" w:ascii="宋体" w:hAnsi="宋体" w:cs="宋体"/>
          <w:color w:val="333333"/>
          <w:kern w:val="0"/>
          <w:sz w:val="18"/>
          <w:szCs w:val="18"/>
        </w:rPr>
        <w:t> </w:t>
      </w:r>
    </w:p>
    <w:p>
      <w:pPr>
        <w:widowControl/>
        <w:shd w:val="clear" w:color="auto" w:fill="FFFFFF"/>
        <w:jc w:val="center"/>
        <w:rPr>
          <w:rFonts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国统字〔2017〕213号</w:t>
      </w:r>
    </w:p>
    <w:p>
      <w:pPr>
        <w:widowControl/>
        <w:shd w:val="clear" w:color="auto" w:fill="FFFFFF"/>
        <w:jc w:val="left"/>
        <w:rPr>
          <w:rFonts w:ascii="方正仿宋简体" w:hAnsi="宋体" w:eastAsia="方正仿宋简体" w:cs="宋体"/>
          <w:color w:val="333333"/>
          <w:kern w:val="0"/>
          <w:sz w:val="32"/>
          <w:szCs w:val="32"/>
        </w:rPr>
      </w:pPr>
      <w:r>
        <w:rPr>
          <w:rFonts w:hint="eastAsia" w:ascii="方正仿宋简体" w:hAnsi="Times New Roman" w:eastAsia="方正仿宋简体"/>
          <w:color w:val="333333"/>
          <w:kern w:val="0"/>
          <w:sz w:val="32"/>
          <w:szCs w:val="32"/>
        </w:rPr>
        <w:t> </w:t>
      </w:r>
    </w:p>
    <w:p>
      <w:pPr>
        <w:widowControl/>
        <w:shd w:val="clear" w:color="auto" w:fill="FFFFFF"/>
        <w:jc w:val="left"/>
        <w:rPr>
          <w:rFonts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各省、自治区、直辖市统计局，新疆生产建设兵团统计局，国务院各有关部门，国家统计局各调查总队：</w:t>
      </w:r>
    </w:p>
    <w:p>
      <w:pPr>
        <w:widowControl/>
        <w:shd w:val="clear" w:color="auto" w:fill="FFFFFF"/>
        <w:jc w:val="left"/>
        <w:rPr>
          <w:rFonts w:ascii="方正仿宋简体" w:hAnsi="宋体" w:eastAsia="方正仿宋简体" w:cs="宋体"/>
          <w:color w:val="333333"/>
          <w:kern w:val="0"/>
          <w:sz w:val="32"/>
          <w:szCs w:val="32"/>
        </w:rPr>
      </w:pPr>
      <w:r>
        <w:rPr>
          <w:rFonts w:hint="eastAsia" w:ascii="方正仿宋简体" w:hAnsi="Times New Roman" w:eastAsia="方正仿宋简体"/>
          <w:color w:val="333333"/>
          <w:kern w:val="0"/>
          <w:sz w:val="32"/>
          <w:szCs w:val="32"/>
        </w:rPr>
        <w:t> </w:t>
      </w:r>
      <w:r>
        <w:rPr>
          <w:rFonts w:hint="eastAsia" w:ascii="方正仿宋简体" w:hAnsi="宋体" w:eastAsia="方正仿宋简体" w:cs="宋体"/>
          <w:color w:val="333333"/>
          <w:kern w:val="0"/>
          <w:sz w:val="32"/>
          <w:szCs w:val="32"/>
        </w:rPr>
        <w:t>　　《国民经济行业分类》（</w:t>
      </w:r>
      <w:r>
        <w:rPr>
          <w:rFonts w:hint="eastAsia" w:ascii="方正仿宋简体" w:hAnsi="Times New Roman" w:eastAsia="方正仿宋简体"/>
          <w:color w:val="333333"/>
          <w:kern w:val="0"/>
          <w:sz w:val="32"/>
          <w:szCs w:val="32"/>
        </w:rPr>
        <w:t>GB/T 4754</w:t>
      </w:r>
      <w:r>
        <w:rPr>
          <w:rFonts w:hint="eastAsia" w:ascii="方正仿宋简体" w:hAnsi="宋体" w:eastAsia="方正仿宋简体" w:cs="宋体"/>
          <w:color w:val="333333"/>
          <w:kern w:val="0"/>
          <w:sz w:val="32"/>
          <w:szCs w:val="32"/>
        </w:rPr>
        <w:t>—</w:t>
      </w:r>
      <w:r>
        <w:rPr>
          <w:rFonts w:hint="eastAsia" w:ascii="方正仿宋简体" w:hAnsi="Times New Roman" w:eastAsia="方正仿宋简体"/>
          <w:color w:val="333333"/>
          <w:kern w:val="0"/>
          <w:sz w:val="32"/>
          <w:szCs w:val="32"/>
        </w:rPr>
        <w:t>2017</w:t>
      </w:r>
      <w:r>
        <w:rPr>
          <w:rFonts w:hint="eastAsia" w:ascii="方正仿宋简体" w:hAnsi="宋体" w:eastAsia="方正仿宋简体" w:cs="宋体"/>
          <w:color w:val="333333"/>
          <w:kern w:val="0"/>
          <w:sz w:val="32"/>
          <w:szCs w:val="32"/>
        </w:rPr>
        <w:t>）已正式实施，现对</w:t>
      </w:r>
      <w:r>
        <w:rPr>
          <w:rFonts w:hint="eastAsia" w:ascii="方正仿宋简体" w:hAnsi="Times New Roman" w:eastAsia="方正仿宋简体"/>
          <w:color w:val="333333"/>
          <w:kern w:val="0"/>
          <w:sz w:val="32"/>
          <w:szCs w:val="32"/>
        </w:rPr>
        <w:t>2011</w:t>
      </w:r>
      <w:r>
        <w:rPr>
          <w:rFonts w:hint="eastAsia" w:ascii="方正仿宋简体" w:hAnsi="宋体" w:eastAsia="方正仿宋简体" w:cs="宋体"/>
          <w:color w:val="333333"/>
          <w:kern w:val="0"/>
          <w:sz w:val="32"/>
          <w:szCs w:val="32"/>
        </w:rPr>
        <w:t>年制定的《统计上大中小微型企业划分办法》进行修订。本次修订保持原有的分类原则、方法、结构框架和适用范围，仅将所涉及的行业按照《国民经济行业分类》（</w:t>
      </w:r>
      <w:r>
        <w:rPr>
          <w:rFonts w:hint="eastAsia" w:ascii="方正仿宋简体" w:hAnsi="Times New Roman" w:eastAsia="方正仿宋简体"/>
          <w:color w:val="333333"/>
          <w:kern w:val="0"/>
          <w:sz w:val="32"/>
          <w:szCs w:val="32"/>
        </w:rPr>
        <w:t>GB/T 4754</w:t>
      </w:r>
      <w:r>
        <w:rPr>
          <w:rFonts w:hint="eastAsia" w:ascii="方正仿宋简体" w:hAnsi="宋体" w:eastAsia="方正仿宋简体" w:cs="宋体"/>
          <w:color w:val="333333"/>
          <w:kern w:val="0"/>
          <w:sz w:val="32"/>
          <w:szCs w:val="32"/>
        </w:rPr>
        <w:t>—</w:t>
      </w:r>
      <w:r>
        <w:rPr>
          <w:rFonts w:hint="eastAsia" w:ascii="方正仿宋简体" w:hAnsi="Times New Roman" w:eastAsia="方正仿宋简体"/>
          <w:color w:val="333333"/>
          <w:kern w:val="0"/>
          <w:sz w:val="32"/>
          <w:szCs w:val="32"/>
        </w:rPr>
        <w:t>2011</w:t>
      </w:r>
      <w:r>
        <w:rPr>
          <w:rFonts w:hint="eastAsia" w:ascii="方正仿宋简体" w:hAnsi="宋体" w:eastAsia="方正仿宋简体" w:cs="宋体"/>
          <w:color w:val="333333"/>
          <w:kern w:val="0"/>
          <w:sz w:val="32"/>
          <w:szCs w:val="32"/>
        </w:rPr>
        <w:t>）和《国民经济行业分类》（</w:t>
      </w:r>
      <w:r>
        <w:rPr>
          <w:rFonts w:hint="eastAsia" w:ascii="方正仿宋简体" w:hAnsi="Times New Roman" w:eastAsia="方正仿宋简体"/>
          <w:color w:val="333333"/>
          <w:kern w:val="0"/>
          <w:sz w:val="32"/>
          <w:szCs w:val="32"/>
        </w:rPr>
        <w:t>GB/T 4754</w:t>
      </w:r>
      <w:r>
        <w:rPr>
          <w:rFonts w:hint="eastAsia" w:ascii="方正仿宋简体" w:hAnsi="宋体" w:eastAsia="方正仿宋简体" w:cs="宋体"/>
          <w:color w:val="333333"/>
          <w:kern w:val="0"/>
          <w:sz w:val="32"/>
          <w:szCs w:val="32"/>
        </w:rPr>
        <w:t>—</w:t>
      </w:r>
      <w:r>
        <w:rPr>
          <w:rFonts w:hint="eastAsia" w:ascii="方正仿宋简体" w:hAnsi="Times New Roman" w:eastAsia="方正仿宋简体"/>
          <w:color w:val="333333"/>
          <w:kern w:val="0"/>
          <w:sz w:val="32"/>
          <w:szCs w:val="32"/>
        </w:rPr>
        <w:t>2017</w:t>
      </w:r>
      <w:r>
        <w:rPr>
          <w:rFonts w:hint="eastAsia" w:ascii="方正仿宋简体" w:hAnsi="宋体" w:eastAsia="方正仿宋简体" w:cs="宋体"/>
          <w:color w:val="333333"/>
          <w:kern w:val="0"/>
          <w:sz w:val="32"/>
          <w:szCs w:val="32"/>
        </w:rPr>
        <w:t>）的对应关系，进行相应调整，形成《统计上大中小微型企业划分办法（</w:t>
      </w:r>
      <w:r>
        <w:rPr>
          <w:rFonts w:hint="eastAsia" w:ascii="方正仿宋简体" w:hAnsi="Times New Roman" w:eastAsia="方正仿宋简体"/>
          <w:color w:val="333333"/>
          <w:kern w:val="0"/>
          <w:sz w:val="32"/>
          <w:szCs w:val="32"/>
        </w:rPr>
        <w:t>2017</w:t>
      </w:r>
      <w:r>
        <w:rPr>
          <w:rFonts w:hint="eastAsia" w:ascii="方正仿宋简体" w:hAnsi="宋体" w:eastAsia="方正仿宋简体" w:cs="宋体"/>
          <w:color w:val="333333"/>
          <w:kern w:val="0"/>
          <w:sz w:val="32"/>
          <w:szCs w:val="32"/>
        </w:rPr>
        <w:t>）》。现将《统计上大中小微型企业划分办法（</w:t>
      </w:r>
      <w:r>
        <w:rPr>
          <w:rFonts w:hint="eastAsia" w:ascii="方正仿宋简体" w:hAnsi="Times New Roman" w:eastAsia="方正仿宋简体"/>
          <w:color w:val="333333"/>
          <w:kern w:val="0"/>
          <w:sz w:val="32"/>
          <w:szCs w:val="32"/>
        </w:rPr>
        <w:t>2017</w:t>
      </w:r>
      <w:r>
        <w:rPr>
          <w:rFonts w:hint="eastAsia" w:ascii="方正仿宋简体" w:hAnsi="宋体" w:eastAsia="方正仿宋简体" w:cs="宋体"/>
          <w:color w:val="333333"/>
          <w:kern w:val="0"/>
          <w:sz w:val="32"/>
          <w:szCs w:val="32"/>
        </w:rPr>
        <w:t>）》印发给你们，请在统计工作中认真贯彻执行。</w:t>
      </w:r>
      <w:r>
        <w:rPr>
          <w:rFonts w:hint="eastAsia" w:ascii="方正仿宋简体" w:hAnsi="Times New Roman" w:eastAsia="方正仿宋简体"/>
          <w:color w:val="333333"/>
          <w:kern w:val="0"/>
          <w:sz w:val="32"/>
          <w:szCs w:val="32"/>
        </w:rPr>
        <w:t> </w:t>
      </w:r>
    </w:p>
    <w:p>
      <w:pPr>
        <w:widowControl/>
        <w:shd w:val="clear" w:color="auto" w:fill="FFFFFF"/>
        <w:jc w:val="left"/>
        <w:rPr>
          <w:rFonts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　　附件：《统计上大中小微型企业划分办法（</w:t>
      </w:r>
      <w:r>
        <w:rPr>
          <w:rFonts w:hint="eastAsia" w:ascii="方正仿宋简体" w:hAnsi="Times New Roman" w:eastAsia="方正仿宋简体"/>
          <w:color w:val="333333"/>
          <w:kern w:val="0"/>
          <w:sz w:val="32"/>
          <w:szCs w:val="32"/>
        </w:rPr>
        <w:t>2017</w:t>
      </w:r>
      <w:r>
        <w:rPr>
          <w:rFonts w:hint="eastAsia" w:ascii="方正仿宋简体" w:hAnsi="宋体" w:eastAsia="方正仿宋简体" w:cs="宋体"/>
          <w:color w:val="333333"/>
          <w:kern w:val="0"/>
          <w:sz w:val="32"/>
          <w:szCs w:val="32"/>
        </w:rPr>
        <w:t>）》修订说明</w:t>
      </w:r>
    </w:p>
    <w:p>
      <w:pPr>
        <w:widowControl/>
        <w:shd w:val="clear" w:color="auto" w:fill="FFFFFF"/>
        <w:jc w:val="left"/>
        <w:rPr>
          <w:rFonts w:ascii="方正仿宋简体" w:hAnsi="宋体" w:eastAsia="方正仿宋简体" w:cs="宋体"/>
          <w:color w:val="333333"/>
          <w:kern w:val="0"/>
          <w:sz w:val="32"/>
          <w:szCs w:val="32"/>
        </w:rPr>
      </w:pPr>
      <w:r>
        <w:rPr>
          <w:rFonts w:hint="eastAsia" w:ascii="方正仿宋简体" w:hAnsi="Times New Roman" w:eastAsia="方正仿宋简体"/>
          <w:color w:val="333333"/>
          <w:kern w:val="0"/>
          <w:sz w:val="32"/>
          <w:szCs w:val="32"/>
        </w:rPr>
        <w:t> </w:t>
      </w:r>
    </w:p>
    <w:p>
      <w:pPr>
        <w:widowControl/>
        <w:shd w:val="clear" w:color="auto" w:fill="FFFFFF"/>
        <w:jc w:val="right"/>
        <w:rPr>
          <w:rFonts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国家统计局  </w:t>
      </w:r>
    </w:p>
    <w:p>
      <w:pPr>
        <w:widowControl/>
        <w:shd w:val="clear" w:color="auto" w:fill="FFFFFF"/>
        <w:jc w:val="right"/>
        <w:rPr>
          <w:rFonts w:ascii="方正仿宋简体" w:hAnsi="宋体" w:eastAsia="方正仿宋简体" w:cs="宋体"/>
          <w:color w:val="333333"/>
          <w:kern w:val="0"/>
          <w:sz w:val="32"/>
          <w:szCs w:val="32"/>
        </w:rPr>
      </w:pPr>
      <w:r>
        <w:rPr>
          <w:rFonts w:hint="eastAsia" w:ascii="方正仿宋简体" w:hAnsi="Times New Roman" w:eastAsia="方正仿宋简体"/>
          <w:color w:val="333333"/>
          <w:kern w:val="0"/>
          <w:sz w:val="32"/>
          <w:szCs w:val="32"/>
        </w:rPr>
        <w:t>2017</w:t>
      </w:r>
      <w:r>
        <w:rPr>
          <w:rFonts w:hint="eastAsia" w:ascii="方正仿宋简体" w:hAnsi="宋体" w:eastAsia="方正仿宋简体" w:cs="宋体"/>
          <w:color w:val="333333"/>
          <w:kern w:val="0"/>
          <w:sz w:val="32"/>
          <w:szCs w:val="32"/>
        </w:rPr>
        <w:t>年</w:t>
      </w:r>
      <w:r>
        <w:rPr>
          <w:rFonts w:hint="eastAsia" w:ascii="方正仿宋简体" w:hAnsi="Times New Roman" w:eastAsia="方正仿宋简体"/>
          <w:color w:val="333333"/>
          <w:kern w:val="0"/>
          <w:sz w:val="32"/>
          <w:szCs w:val="32"/>
        </w:rPr>
        <w:t>12</w:t>
      </w:r>
      <w:r>
        <w:rPr>
          <w:rFonts w:hint="eastAsia" w:ascii="方正仿宋简体" w:hAnsi="宋体" w:eastAsia="方正仿宋简体" w:cs="宋体"/>
          <w:color w:val="333333"/>
          <w:kern w:val="0"/>
          <w:sz w:val="32"/>
          <w:szCs w:val="32"/>
        </w:rPr>
        <w:t>月</w:t>
      </w:r>
      <w:r>
        <w:rPr>
          <w:rFonts w:hint="eastAsia" w:ascii="方正仿宋简体" w:hAnsi="Times New Roman" w:eastAsia="方正仿宋简体"/>
          <w:color w:val="333333"/>
          <w:kern w:val="0"/>
          <w:sz w:val="32"/>
          <w:szCs w:val="32"/>
        </w:rPr>
        <w:t>28</w:t>
      </w:r>
      <w:r>
        <w:rPr>
          <w:rFonts w:hint="eastAsia" w:ascii="方正仿宋简体" w:hAnsi="宋体" w:eastAsia="方正仿宋简体" w:cs="宋体"/>
          <w:color w:val="333333"/>
          <w:kern w:val="0"/>
          <w:sz w:val="32"/>
          <w:szCs w:val="32"/>
        </w:rPr>
        <w:t>日</w:t>
      </w:r>
    </w:p>
    <w:p>
      <w:pPr>
        <w:widowControl/>
        <w:shd w:val="clear" w:color="auto" w:fill="FFFFFF"/>
        <w:jc w:val="left"/>
        <w:rPr>
          <w:rFonts w:ascii="宋体" w:hAnsi="宋体" w:cs="宋体"/>
          <w:color w:val="333333"/>
          <w:kern w:val="0"/>
          <w:sz w:val="18"/>
          <w:szCs w:val="18"/>
        </w:rPr>
      </w:pPr>
      <w:r>
        <w:rPr>
          <w:rFonts w:ascii="Times New Roman" w:hAnsi="Times New Roman"/>
          <w:color w:val="333333"/>
          <w:kern w:val="0"/>
          <w:sz w:val="24"/>
          <w:szCs w:val="24"/>
        </w:rPr>
        <w:t> </w:t>
      </w:r>
    </w:p>
    <w:p>
      <w:pPr>
        <w:widowControl/>
        <w:spacing w:line="330" w:lineRule="atLeas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统计上大中小微型企业划分办法（2017）</w:t>
      </w:r>
    </w:p>
    <w:p>
      <w:pPr>
        <w:widowControl/>
        <w:spacing w:line="560" w:lineRule="exact"/>
        <w:ind w:firstLine="640" w:firstLineChars="200"/>
        <w:jc w:val="left"/>
        <w:rPr>
          <w:rFonts w:ascii="方正仿宋简体" w:hAnsi="宋体" w:eastAsia="方正仿宋简体" w:cs="宋体"/>
          <w:color w:val="000000"/>
          <w:kern w:val="0"/>
          <w:sz w:val="32"/>
          <w:szCs w:val="32"/>
        </w:rPr>
      </w:pPr>
      <w:r>
        <w:rPr>
          <w:rFonts w:ascii="方正仿宋简体" w:hAnsi="宋体" w:eastAsia="方正仿宋简体" w:cs="宋体"/>
          <w:color w:val="000000"/>
          <w:kern w:val="0"/>
          <w:sz w:val="32"/>
          <w:szCs w:val="32"/>
        </w:rPr>
        <w:t xml:space="preserve"> </w:t>
      </w:r>
      <w:r>
        <w:rPr>
          <w:rFonts w:hint="eastAsia" w:ascii="方正仿宋简体" w:hAnsi="宋体" w:eastAsia="方正仿宋简体" w:cs="宋体"/>
          <w:color w:val="000000"/>
          <w:kern w:val="0"/>
          <w:sz w:val="32"/>
          <w:szCs w:val="32"/>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560" w:lineRule="exact"/>
        <w:ind w:firstLine="640" w:firstLineChars="200"/>
        <w:jc w:val="left"/>
        <w:rPr>
          <w:rFonts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 xml:space="preserve"> 二、本办法适用对象为在中华人民共和国境内依法设立的各种组织形式的法人企业或单位。个体工商户参照本办法进行划分。</w:t>
      </w:r>
    </w:p>
    <w:p>
      <w:pPr>
        <w:widowControl/>
        <w:spacing w:line="560" w:lineRule="exact"/>
        <w:ind w:firstLine="640" w:firstLineChars="200"/>
        <w:jc w:val="left"/>
        <w:rPr>
          <w:rFonts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 xml:space="preserve">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560" w:lineRule="exact"/>
        <w:ind w:firstLine="640" w:firstLineChars="200"/>
        <w:jc w:val="left"/>
        <w:rPr>
          <w:rFonts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 xml:space="preserve"> 四、本办法按照行业门类、大类、中类和组合类别，依据从业人员、营业收入、资产总额等指标或替代指标，将我国的企业划分为大型、中型、小型、微型等四种类型。具体划分标准见附表。</w:t>
      </w:r>
    </w:p>
    <w:p>
      <w:pPr>
        <w:widowControl/>
        <w:spacing w:line="560" w:lineRule="exact"/>
        <w:ind w:firstLine="640" w:firstLineChars="200"/>
        <w:jc w:val="left"/>
        <w:rPr>
          <w:rFonts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 xml:space="preserve"> 五、企业划分由政府综合统计部门根据统计年报每年确定一次，定报统计原则上不进行调整。</w:t>
      </w:r>
    </w:p>
    <w:p>
      <w:pPr>
        <w:widowControl/>
        <w:spacing w:line="560" w:lineRule="exact"/>
        <w:ind w:firstLine="640" w:firstLineChars="200"/>
        <w:jc w:val="left"/>
        <w:rPr>
          <w:rFonts w:ascii="方正仿宋简体" w:hAnsi="宋体" w:eastAsia="方正仿宋简体" w:cs="宋体"/>
          <w:color w:val="000000"/>
          <w:kern w:val="0"/>
          <w:sz w:val="32"/>
          <w:szCs w:val="32"/>
        </w:rPr>
      </w:pPr>
      <w:r>
        <w:rPr>
          <w:rFonts w:hint="eastAsia" w:ascii="方正仿宋简体" w:hAnsi="宋体" w:eastAsia="方正仿宋简体" w:cs="宋体"/>
          <w:color w:val="000000"/>
          <w:kern w:val="0"/>
          <w:sz w:val="32"/>
          <w:szCs w:val="32"/>
        </w:rPr>
        <w:t xml:space="preserve"> 六、本办法自印发之日起执行，国家统计局2011年印发的《统计上大中小微型企业划分办法》（国统字〔2011〕75号）同时废止。</w:t>
      </w:r>
    </w:p>
    <w:p>
      <w:pPr>
        <w:widowControl/>
        <w:spacing w:line="600" w:lineRule="exact"/>
        <w:ind w:firstLine="640" w:firstLineChars="200"/>
        <w:jc w:val="left"/>
        <w:rPr>
          <w:rFonts w:ascii="方正仿宋简体" w:hAnsi="宋体" w:eastAsia="方正仿宋简体" w:cs="宋体"/>
          <w:color w:val="000000"/>
          <w:kern w:val="0"/>
          <w:sz w:val="32"/>
          <w:szCs w:val="32"/>
        </w:rPr>
      </w:pPr>
    </w:p>
    <w:p>
      <w:pPr>
        <w:widowControl/>
        <w:spacing w:line="600" w:lineRule="exact"/>
        <w:ind w:firstLine="640" w:firstLineChars="200"/>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统计上大中小微型企业划分标准</w:t>
      </w:r>
    </w:p>
    <w:tbl>
      <w:tblPr>
        <w:tblStyle w:val="5"/>
        <w:tblW w:w="9435" w:type="dxa"/>
        <w:jc w:val="center"/>
        <w:tblLayout w:type="fixed"/>
        <w:tblCellMar>
          <w:top w:w="0" w:type="dxa"/>
          <w:left w:w="108" w:type="dxa"/>
          <w:bottom w:w="0" w:type="dxa"/>
          <w:right w:w="108" w:type="dxa"/>
        </w:tblCellMar>
      </w:tblPr>
      <w:tblGrid>
        <w:gridCol w:w="1913"/>
        <w:gridCol w:w="1569"/>
        <w:gridCol w:w="699"/>
        <w:gridCol w:w="1135"/>
        <w:gridCol w:w="1701"/>
        <w:gridCol w:w="1426"/>
        <w:gridCol w:w="992"/>
      </w:tblGrid>
      <w:tr>
        <w:tblPrEx>
          <w:tblCellMar>
            <w:top w:w="0" w:type="dxa"/>
            <w:left w:w="108" w:type="dxa"/>
            <w:bottom w:w="0" w:type="dxa"/>
            <w:right w:w="108" w:type="dxa"/>
          </w:tblCellMar>
        </w:tblPrEx>
        <w:trPr>
          <w:trHeight w:val="622" w:hRule="exact"/>
          <w:jc w:val="center"/>
        </w:trPr>
        <w:tc>
          <w:tcPr>
            <w:tcW w:w="19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Cs/>
                <w:color w:val="000000"/>
                <w:kern w:val="0"/>
                <w:szCs w:val="21"/>
              </w:rPr>
            </w:pPr>
            <w:r>
              <w:rPr>
                <w:rFonts w:hint="eastAsia" w:ascii="宋体" w:hAnsi="宋体" w:cs="宋体"/>
                <w:bCs/>
                <w:color w:val="000000"/>
                <w:kern w:val="0"/>
                <w:szCs w:val="21"/>
              </w:rPr>
              <w:t>行业名称</w:t>
            </w:r>
          </w:p>
        </w:tc>
        <w:tc>
          <w:tcPr>
            <w:tcW w:w="15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指标名称</w:t>
            </w:r>
          </w:p>
        </w:tc>
        <w:tc>
          <w:tcPr>
            <w:tcW w:w="6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计量</w:t>
            </w:r>
            <w:r>
              <w:rPr>
                <w:rFonts w:hint="eastAsia" w:ascii="宋体" w:hAnsi="宋体" w:cs="宋体"/>
                <w:bCs/>
                <w:color w:val="000000"/>
                <w:kern w:val="0"/>
                <w:szCs w:val="21"/>
              </w:rPr>
              <w:br w:type="textWrapping"/>
            </w:r>
            <w:r>
              <w:rPr>
                <w:rFonts w:hint="eastAsia" w:ascii="宋体" w:hAnsi="宋体" w:cs="宋体"/>
                <w:bCs/>
                <w:color w:val="000000"/>
                <w:kern w:val="0"/>
                <w:szCs w:val="21"/>
              </w:rPr>
              <w:t>单位</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微型</w:t>
            </w:r>
          </w:p>
        </w:tc>
      </w:tr>
      <w:tr>
        <w:tblPrEx>
          <w:tblCellMar>
            <w:top w:w="0" w:type="dxa"/>
            <w:left w:w="108" w:type="dxa"/>
            <w:bottom w:w="0" w:type="dxa"/>
            <w:right w:w="108" w:type="dxa"/>
          </w:tblCellMar>
        </w:tblPrEx>
        <w:trPr>
          <w:trHeight w:val="397" w:hRule="exact"/>
          <w:jc w:val="center"/>
        </w:trPr>
        <w:tc>
          <w:tcPr>
            <w:tcW w:w="19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农、林、牧、渔业</w:t>
            </w:r>
          </w:p>
        </w:tc>
        <w:tc>
          <w:tcPr>
            <w:tcW w:w="1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Y＜50</w:t>
            </w:r>
          </w:p>
        </w:tc>
      </w:tr>
      <w:tr>
        <w:tblPrEx>
          <w:tblCellMar>
            <w:top w:w="0" w:type="dxa"/>
            <w:left w:w="108" w:type="dxa"/>
            <w:bottom w:w="0" w:type="dxa"/>
            <w:right w:w="108" w:type="dxa"/>
          </w:tblCellMar>
        </w:tblPrEx>
        <w:trPr>
          <w:trHeight w:val="397"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工业 *</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w:t>
            </w:r>
          </w:p>
        </w:tc>
      </w:tr>
      <w:tr>
        <w:tblPrEx>
          <w:tblCellMar>
            <w:top w:w="0" w:type="dxa"/>
            <w:left w:w="108" w:type="dxa"/>
            <w:bottom w:w="0" w:type="dxa"/>
            <w:right w:w="108" w:type="dxa"/>
          </w:tblCellMar>
        </w:tblPrEx>
        <w:trPr>
          <w:trHeight w:val="397"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Y＜300</w:t>
            </w:r>
          </w:p>
        </w:tc>
      </w:tr>
      <w:tr>
        <w:tblPrEx>
          <w:tblCellMar>
            <w:top w:w="0" w:type="dxa"/>
            <w:left w:w="108" w:type="dxa"/>
            <w:bottom w:w="0" w:type="dxa"/>
            <w:right w:w="108" w:type="dxa"/>
          </w:tblCellMar>
        </w:tblPrEx>
        <w:trPr>
          <w:trHeight w:val="397"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建筑业</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Y＜300</w:t>
            </w:r>
          </w:p>
        </w:tc>
      </w:tr>
      <w:tr>
        <w:tblPrEx>
          <w:tblCellMar>
            <w:top w:w="0" w:type="dxa"/>
            <w:left w:w="108" w:type="dxa"/>
            <w:bottom w:w="0" w:type="dxa"/>
            <w:right w:w="108" w:type="dxa"/>
          </w:tblCellMar>
        </w:tblPrEx>
        <w:trPr>
          <w:trHeight w:val="397"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资产总额(Z)</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Z＜300</w:t>
            </w:r>
          </w:p>
        </w:tc>
      </w:tr>
      <w:tr>
        <w:tblPrEx>
          <w:tblCellMar>
            <w:top w:w="0" w:type="dxa"/>
            <w:left w:w="108" w:type="dxa"/>
            <w:bottom w:w="0" w:type="dxa"/>
            <w:right w:w="108" w:type="dxa"/>
          </w:tblCellMar>
        </w:tblPrEx>
        <w:trPr>
          <w:trHeight w:val="397"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批发业</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X＜5</w:t>
            </w:r>
          </w:p>
        </w:tc>
      </w:tr>
      <w:tr>
        <w:tblPrEx>
          <w:tblCellMar>
            <w:top w:w="0" w:type="dxa"/>
            <w:left w:w="108" w:type="dxa"/>
            <w:bottom w:w="0" w:type="dxa"/>
            <w:right w:w="108" w:type="dxa"/>
          </w:tblCellMar>
        </w:tblPrEx>
        <w:trPr>
          <w:trHeight w:val="397"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Cs w:val="21"/>
              </w:rPr>
            </w:pPr>
            <w:r>
              <w:rPr>
                <w:rFonts w:hint="eastAsia" w:ascii="宋体" w:hAnsi="宋体" w:cs="宋体"/>
                <w:color w:val="000000"/>
                <w:kern w:val="0"/>
                <w:szCs w:val="21"/>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Y＜1000</w:t>
            </w:r>
          </w:p>
        </w:tc>
      </w:tr>
      <w:tr>
        <w:tblPrEx>
          <w:tblCellMar>
            <w:top w:w="0" w:type="dxa"/>
            <w:left w:w="108" w:type="dxa"/>
            <w:bottom w:w="0" w:type="dxa"/>
            <w:right w:w="108" w:type="dxa"/>
          </w:tblCellMar>
        </w:tblPrEx>
        <w:trPr>
          <w:trHeight w:val="397"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零售业</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Cs w:val="21"/>
              </w:rPr>
            </w:pPr>
            <w:r>
              <w:rPr>
                <w:rFonts w:hint="eastAsia" w:ascii="宋体" w:hAnsi="宋体" w:cs="宋体"/>
                <w:color w:val="000000"/>
                <w:kern w:val="0"/>
                <w:szCs w:val="21"/>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97"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Cs w:val="21"/>
              </w:rPr>
            </w:pPr>
            <w:r>
              <w:rPr>
                <w:rFonts w:hint="eastAsia" w:ascii="宋体" w:hAnsi="宋体" w:cs="宋体"/>
                <w:color w:val="000000"/>
                <w:kern w:val="0"/>
                <w:szCs w:val="21"/>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97"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交通运输业 *</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w:t>
            </w:r>
          </w:p>
        </w:tc>
      </w:tr>
      <w:tr>
        <w:tblPrEx>
          <w:tblCellMar>
            <w:top w:w="0" w:type="dxa"/>
            <w:left w:w="108" w:type="dxa"/>
            <w:bottom w:w="0" w:type="dxa"/>
            <w:right w:w="108" w:type="dxa"/>
          </w:tblCellMar>
        </w:tblPrEx>
        <w:trPr>
          <w:trHeight w:val="397"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Y＜200</w:t>
            </w:r>
          </w:p>
        </w:tc>
      </w:tr>
      <w:tr>
        <w:tblPrEx>
          <w:tblCellMar>
            <w:top w:w="0" w:type="dxa"/>
            <w:left w:w="108" w:type="dxa"/>
            <w:bottom w:w="0" w:type="dxa"/>
            <w:right w:w="108" w:type="dxa"/>
          </w:tblCellMar>
        </w:tblPrEx>
        <w:trPr>
          <w:trHeight w:val="397"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仓储业*</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X≥200</w:t>
            </w:r>
          </w:p>
        </w:tc>
        <w:tc>
          <w:tcPr>
            <w:tcW w:w="1701" w:type="dxa"/>
            <w:tcBorders>
              <w:top w:val="nil"/>
              <w:left w:val="nil"/>
              <w:bottom w:val="nil"/>
              <w:right w:val="single" w:color="auto" w:sz="4" w:space="0"/>
            </w:tcBorders>
            <w:shd w:val="clear" w:color="auto" w:fill="auto"/>
            <w:vAlign w:val="center"/>
          </w:tcPr>
          <w:p>
            <w:pPr>
              <w:widowControl/>
              <w:ind w:left="19" w:leftChars="-51" w:hanging="126" w:hangingChars="60"/>
              <w:jc w:val="center"/>
              <w:rPr>
                <w:rFonts w:ascii="宋体" w:hAnsi="宋体" w:cs="宋体"/>
                <w:color w:val="000000"/>
                <w:kern w:val="0"/>
                <w:szCs w:val="21"/>
              </w:rPr>
            </w:pPr>
            <w:r>
              <w:rPr>
                <w:rFonts w:hint="eastAsia" w:ascii="宋体" w:hAnsi="宋体" w:cs="宋体"/>
                <w:color w:val="000000"/>
                <w:kern w:val="0"/>
                <w:szCs w:val="21"/>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w:t>
            </w:r>
          </w:p>
        </w:tc>
      </w:tr>
      <w:tr>
        <w:tblPrEx>
          <w:tblCellMar>
            <w:top w:w="0" w:type="dxa"/>
            <w:left w:w="108" w:type="dxa"/>
            <w:bottom w:w="0" w:type="dxa"/>
            <w:right w:w="108" w:type="dxa"/>
          </w:tblCellMar>
        </w:tblPrEx>
        <w:trPr>
          <w:trHeight w:val="397"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97"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邮政业</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w:t>
            </w:r>
          </w:p>
        </w:tc>
      </w:tr>
      <w:tr>
        <w:tblPrEx>
          <w:tblCellMar>
            <w:top w:w="0" w:type="dxa"/>
            <w:left w:w="108" w:type="dxa"/>
            <w:bottom w:w="0" w:type="dxa"/>
            <w:right w:w="108" w:type="dxa"/>
          </w:tblCellMar>
        </w:tblPrEx>
        <w:trPr>
          <w:trHeight w:val="397"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97"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住宿业</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nil"/>
              <w:right w:val="single" w:color="auto" w:sz="4" w:space="0"/>
            </w:tcBorders>
            <w:shd w:val="clear" w:color="auto" w:fill="auto"/>
            <w:vAlign w:val="center"/>
          </w:tcPr>
          <w:p>
            <w:pPr>
              <w:widowControl/>
              <w:ind w:left="19" w:leftChars="-51" w:hanging="126" w:hangingChars="60"/>
              <w:jc w:val="center"/>
              <w:rPr>
                <w:rFonts w:ascii="宋体" w:hAnsi="宋体" w:cs="宋体"/>
                <w:color w:val="000000"/>
                <w:kern w:val="0"/>
                <w:szCs w:val="21"/>
              </w:rPr>
            </w:pPr>
            <w:r>
              <w:rPr>
                <w:rFonts w:hint="eastAsia" w:ascii="宋体" w:hAnsi="宋体" w:cs="宋体"/>
                <w:color w:val="000000"/>
                <w:kern w:val="0"/>
                <w:szCs w:val="21"/>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97"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97"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餐饮业</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nil"/>
              <w:right w:val="single" w:color="auto" w:sz="4" w:space="0"/>
            </w:tcBorders>
            <w:shd w:val="clear" w:color="auto" w:fill="auto"/>
            <w:vAlign w:val="center"/>
          </w:tcPr>
          <w:p>
            <w:pPr>
              <w:widowControl/>
              <w:ind w:left="19" w:leftChars="-51" w:hanging="126" w:hangingChars="60"/>
              <w:jc w:val="center"/>
              <w:rPr>
                <w:rFonts w:ascii="宋体" w:hAnsi="宋体" w:cs="宋体"/>
                <w:color w:val="000000"/>
                <w:kern w:val="0"/>
                <w:szCs w:val="21"/>
              </w:rPr>
            </w:pPr>
            <w:r>
              <w:rPr>
                <w:rFonts w:hint="eastAsia" w:ascii="宋体" w:hAnsi="宋体" w:cs="宋体"/>
                <w:color w:val="000000"/>
                <w:kern w:val="0"/>
                <w:szCs w:val="21"/>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97"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97"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信息传输业 *</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97"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40" w:hRule="exact"/>
          <w:jc w:val="center"/>
        </w:trPr>
        <w:tc>
          <w:tcPr>
            <w:tcW w:w="19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Cs w:val="21"/>
              </w:rPr>
            </w:pPr>
            <w:r>
              <w:rPr>
                <w:rFonts w:hint="eastAsia" w:ascii="宋体" w:hAnsi="宋体" w:cs="宋体"/>
                <w:color w:val="000000"/>
                <w:spacing w:val="-12"/>
                <w:kern w:val="0"/>
                <w:szCs w:val="21"/>
              </w:rPr>
              <w:t>软件和信息技术服</w:t>
            </w:r>
            <w:r>
              <w:rPr>
                <w:rFonts w:hint="eastAsia" w:ascii="宋体" w:hAnsi="宋体" w:cs="宋体"/>
                <w:color w:val="000000"/>
                <w:kern w:val="0"/>
                <w:szCs w:val="21"/>
              </w:rPr>
              <w:t>务业</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nil"/>
              <w:right w:val="single" w:color="auto" w:sz="4" w:space="0"/>
            </w:tcBorders>
            <w:shd w:val="clear" w:color="auto" w:fill="auto"/>
            <w:vAlign w:val="center"/>
          </w:tcPr>
          <w:p>
            <w:pPr>
              <w:widowControl/>
              <w:ind w:left="19" w:leftChars="-51" w:hanging="126" w:hangingChars="60"/>
              <w:jc w:val="center"/>
              <w:rPr>
                <w:rFonts w:ascii="宋体" w:hAnsi="宋体" w:cs="宋体"/>
                <w:color w:val="000000"/>
                <w:kern w:val="0"/>
                <w:szCs w:val="21"/>
              </w:rPr>
            </w:pPr>
            <w:r>
              <w:rPr>
                <w:rFonts w:hint="eastAsia" w:ascii="宋体" w:hAnsi="宋体" w:cs="宋体"/>
                <w:color w:val="000000"/>
                <w:kern w:val="0"/>
                <w:szCs w:val="21"/>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40" w:hRule="exact"/>
          <w:jc w:val="center"/>
        </w:trPr>
        <w:tc>
          <w:tcPr>
            <w:tcW w:w="19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Y＜50</w:t>
            </w:r>
          </w:p>
        </w:tc>
      </w:tr>
      <w:tr>
        <w:tblPrEx>
          <w:tblCellMar>
            <w:top w:w="0" w:type="dxa"/>
            <w:left w:w="108" w:type="dxa"/>
            <w:bottom w:w="0" w:type="dxa"/>
            <w:right w:w="108" w:type="dxa"/>
          </w:tblCellMar>
        </w:tblPrEx>
        <w:trPr>
          <w:trHeight w:val="340"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房地产开发经营</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Y＜100</w:t>
            </w:r>
          </w:p>
        </w:tc>
      </w:tr>
      <w:tr>
        <w:tblPrEx>
          <w:tblCellMar>
            <w:top w:w="0" w:type="dxa"/>
            <w:left w:w="108" w:type="dxa"/>
            <w:bottom w:w="0" w:type="dxa"/>
            <w:right w:w="108" w:type="dxa"/>
          </w:tblCellMar>
        </w:tblPrEx>
        <w:trPr>
          <w:trHeight w:val="340"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资产总额(Z)</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Z＜2000</w:t>
            </w:r>
          </w:p>
        </w:tc>
      </w:tr>
      <w:tr>
        <w:tblPrEx>
          <w:tblCellMar>
            <w:top w:w="0" w:type="dxa"/>
            <w:left w:w="108" w:type="dxa"/>
            <w:bottom w:w="0" w:type="dxa"/>
            <w:right w:w="108" w:type="dxa"/>
          </w:tblCellMar>
        </w:tblPrEx>
        <w:trPr>
          <w:trHeight w:val="340"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物业管理</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X＜100</w:t>
            </w:r>
          </w:p>
        </w:tc>
      </w:tr>
      <w:tr>
        <w:tblPrEx>
          <w:tblCellMar>
            <w:top w:w="0" w:type="dxa"/>
            <w:left w:w="108" w:type="dxa"/>
            <w:bottom w:w="0" w:type="dxa"/>
            <w:right w:w="108" w:type="dxa"/>
          </w:tblCellMar>
        </w:tblPrEx>
        <w:trPr>
          <w:trHeight w:val="340"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营业收入(Y)</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9" w:leftChars="-51" w:hanging="126" w:hangingChars="60"/>
              <w:jc w:val="center"/>
              <w:rPr>
                <w:rFonts w:ascii="宋体" w:hAnsi="宋体" w:cs="宋体"/>
                <w:color w:val="000000"/>
                <w:kern w:val="0"/>
                <w:szCs w:val="21"/>
              </w:rPr>
            </w:pPr>
            <w:r>
              <w:rPr>
                <w:rFonts w:hint="eastAsia" w:ascii="宋体" w:hAnsi="宋体" w:cs="宋体"/>
                <w:color w:val="000000"/>
                <w:kern w:val="0"/>
                <w:szCs w:val="21"/>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Y＜500</w:t>
            </w:r>
          </w:p>
        </w:tc>
      </w:tr>
      <w:tr>
        <w:tblPrEx>
          <w:tblCellMar>
            <w:top w:w="0" w:type="dxa"/>
            <w:left w:w="108" w:type="dxa"/>
            <w:bottom w:w="0" w:type="dxa"/>
            <w:right w:w="108" w:type="dxa"/>
          </w:tblCellMar>
        </w:tblPrEx>
        <w:trPr>
          <w:trHeight w:val="340" w:hRule="exact"/>
          <w:jc w:val="center"/>
        </w:trPr>
        <w:tc>
          <w:tcPr>
            <w:tcW w:w="19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租赁和商务服务业</w:t>
            </w:r>
          </w:p>
        </w:tc>
        <w:tc>
          <w:tcPr>
            <w:tcW w:w="15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nil"/>
              <w:right w:val="single" w:color="auto" w:sz="4" w:space="0"/>
            </w:tcBorders>
            <w:shd w:val="clear" w:color="auto" w:fill="auto"/>
            <w:vAlign w:val="center"/>
          </w:tcPr>
          <w:p>
            <w:pPr>
              <w:widowControl/>
              <w:ind w:left="19" w:leftChars="-51" w:hanging="126" w:hangingChars="60"/>
              <w:jc w:val="center"/>
              <w:rPr>
                <w:rFonts w:ascii="宋体" w:hAnsi="宋体" w:cs="宋体"/>
                <w:color w:val="000000"/>
                <w:kern w:val="0"/>
                <w:szCs w:val="21"/>
              </w:rPr>
            </w:pPr>
            <w:r>
              <w:rPr>
                <w:rFonts w:hint="eastAsia" w:ascii="宋体" w:hAnsi="宋体" w:cs="宋体"/>
                <w:color w:val="000000"/>
                <w:kern w:val="0"/>
                <w:szCs w:val="21"/>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w:t>
            </w:r>
          </w:p>
        </w:tc>
      </w:tr>
      <w:tr>
        <w:tblPrEx>
          <w:tblCellMar>
            <w:top w:w="0" w:type="dxa"/>
            <w:left w:w="108" w:type="dxa"/>
            <w:bottom w:w="0" w:type="dxa"/>
            <w:right w:w="108" w:type="dxa"/>
          </w:tblCellMar>
        </w:tblPrEx>
        <w:trPr>
          <w:trHeight w:val="340" w:hRule="exact"/>
          <w:jc w:val="center"/>
        </w:trPr>
        <w:tc>
          <w:tcPr>
            <w:tcW w:w="19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资产总额(Z)</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Z＜100</w:t>
            </w:r>
          </w:p>
        </w:tc>
      </w:tr>
      <w:tr>
        <w:tblPrEx>
          <w:tblCellMar>
            <w:top w:w="0" w:type="dxa"/>
            <w:left w:w="108" w:type="dxa"/>
            <w:bottom w:w="0" w:type="dxa"/>
            <w:right w:w="108" w:type="dxa"/>
          </w:tblCellMar>
        </w:tblPrEx>
        <w:trPr>
          <w:trHeight w:val="397" w:hRule="exact"/>
          <w:jc w:val="center"/>
        </w:trPr>
        <w:tc>
          <w:tcPr>
            <w:tcW w:w="19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其他未列明行业 *</w:t>
            </w:r>
          </w:p>
        </w:tc>
        <w:tc>
          <w:tcPr>
            <w:tcW w:w="1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从业人员(X)</w:t>
            </w:r>
          </w:p>
        </w:tc>
        <w:tc>
          <w:tcPr>
            <w:tcW w:w="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9" w:leftChars="-51" w:hanging="126" w:hangingChars="60"/>
              <w:jc w:val="center"/>
              <w:rPr>
                <w:rFonts w:ascii="宋体" w:hAnsi="宋体" w:cs="宋体"/>
                <w:color w:val="000000"/>
                <w:kern w:val="0"/>
                <w:szCs w:val="21"/>
              </w:rPr>
            </w:pPr>
            <w:r>
              <w:rPr>
                <w:rFonts w:hint="eastAsia" w:ascii="宋体" w:hAnsi="宋体" w:cs="宋体"/>
                <w:color w:val="000000"/>
                <w:kern w:val="0"/>
                <w:szCs w:val="21"/>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X＜10</w:t>
            </w:r>
          </w:p>
        </w:tc>
      </w:tr>
    </w:tbl>
    <w:p>
      <w:pPr>
        <w:widowControl/>
        <w:spacing w:line="540" w:lineRule="exact"/>
        <w:rPr>
          <w:rFonts w:ascii="方正仿宋简体" w:hAnsi="宋体" w:eastAsia="方正仿宋简体" w:cs="宋体"/>
          <w:color w:val="000000"/>
          <w:spacing w:val="8"/>
          <w:kern w:val="0"/>
          <w:sz w:val="32"/>
          <w:szCs w:val="32"/>
        </w:rPr>
      </w:pPr>
      <w:r>
        <w:rPr>
          <w:rFonts w:hint="eastAsia" w:ascii="方正仿宋简体" w:hAnsi="Times New Roman" w:eastAsia="方正仿宋简体" w:cs="宋体"/>
          <w:color w:val="000000"/>
          <w:spacing w:val="8"/>
          <w:kern w:val="0"/>
          <w:sz w:val="32"/>
          <w:szCs w:val="32"/>
        </w:rPr>
        <w:t>说明：</w:t>
      </w:r>
    </w:p>
    <w:p>
      <w:pPr>
        <w:spacing w:line="540" w:lineRule="exact"/>
        <w:rPr>
          <w:rFonts w:ascii="方正仿宋简体" w:hAnsi="宋体" w:eastAsia="方正仿宋简体" w:cs="宋体"/>
          <w:color w:val="000000"/>
          <w:spacing w:val="8"/>
          <w:kern w:val="0"/>
          <w:sz w:val="32"/>
          <w:szCs w:val="32"/>
        </w:rPr>
      </w:pPr>
      <w:r>
        <w:rPr>
          <w:rFonts w:hint="eastAsia" w:ascii="方正仿宋简体" w:hAnsi="Times New Roman" w:eastAsia="方正仿宋简体" w:cs="宋体"/>
          <w:color w:val="000000"/>
          <w:spacing w:val="8"/>
          <w:kern w:val="0"/>
          <w:sz w:val="32"/>
          <w:szCs w:val="32"/>
        </w:rPr>
        <w:t>　　</w:t>
      </w:r>
      <w:r>
        <w:rPr>
          <w:rFonts w:hint="eastAsia" w:ascii="方正仿宋简体" w:hAnsi="Times New Roman" w:eastAsia="方正仿宋简体"/>
          <w:color w:val="000000"/>
          <w:spacing w:val="8"/>
          <w:kern w:val="0"/>
          <w:sz w:val="32"/>
          <w:szCs w:val="32"/>
        </w:rPr>
        <w:t>1.</w:t>
      </w:r>
      <w:r>
        <w:rPr>
          <w:rFonts w:hint="eastAsia" w:ascii="方正仿宋简体" w:hAnsi="Times New Roman" w:eastAsia="方正仿宋简体" w:cs="宋体"/>
          <w:color w:val="000000"/>
          <w:spacing w:val="8"/>
          <w:kern w:val="0"/>
          <w:sz w:val="32"/>
          <w:szCs w:val="32"/>
        </w:rPr>
        <w:t>大型、中型和小型企业须同时满足所列指标的下限，否则下划一档；微型企业只须满足所列指标中的一项即可。</w:t>
      </w:r>
    </w:p>
    <w:p>
      <w:pPr>
        <w:spacing w:line="540" w:lineRule="exact"/>
        <w:rPr>
          <w:rFonts w:ascii="方正仿宋简体" w:hAnsi="Times New Roman" w:eastAsia="方正仿宋简体" w:cs="宋体"/>
          <w:color w:val="000000"/>
          <w:spacing w:val="8"/>
          <w:kern w:val="0"/>
          <w:sz w:val="32"/>
          <w:szCs w:val="32"/>
        </w:rPr>
      </w:pPr>
      <w:r>
        <w:rPr>
          <w:rFonts w:hint="eastAsia" w:ascii="方正仿宋简体" w:hAnsi="Times New Roman" w:eastAsia="方正仿宋简体" w:cs="宋体"/>
          <w:color w:val="000000"/>
          <w:spacing w:val="8"/>
          <w:kern w:val="0"/>
          <w:sz w:val="32"/>
          <w:szCs w:val="32"/>
        </w:rPr>
        <w:t>　　</w:t>
      </w:r>
      <w:r>
        <w:rPr>
          <w:rFonts w:hint="eastAsia" w:ascii="方正仿宋简体" w:hAnsi="Times New Roman" w:eastAsia="方正仿宋简体"/>
          <w:color w:val="000000"/>
          <w:spacing w:val="8"/>
          <w:kern w:val="0"/>
          <w:sz w:val="32"/>
          <w:szCs w:val="32"/>
        </w:rPr>
        <w:t>2.</w:t>
      </w:r>
      <w:r>
        <w:rPr>
          <w:rFonts w:hint="eastAsia" w:ascii="方正仿宋简体" w:hAnsi="Times New Roman" w:eastAsia="方正仿宋简体" w:cs="宋体"/>
          <w:color w:val="000000"/>
          <w:spacing w:val="8"/>
          <w:kern w:val="0"/>
          <w:sz w:val="32"/>
          <w:szCs w:val="32"/>
        </w:rPr>
        <w:t>附表中各行业的范围以《国民经济行业分类》（</w:t>
      </w:r>
      <w:r>
        <w:rPr>
          <w:rFonts w:hint="eastAsia" w:ascii="方正仿宋简体" w:hAnsi="Times New Roman" w:eastAsia="方正仿宋简体"/>
          <w:color w:val="000000"/>
          <w:spacing w:val="8"/>
          <w:kern w:val="0"/>
          <w:sz w:val="32"/>
          <w:szCs w:val="32"/>
        </w:rPr>
        <w:t>GB/T4754-2017</w:t>
      </w:r>
      <w:r>
        <w:rPr>
          <w:rFonts w:hint="eastAsia" w:ascii="方正仿宋简体" w:hAnsi="Times New Roman" w:eastAsia="方正仿宋简体" w:cs="宋体"/>
          <w:color w:val="000000"/>
          <w:spacing w:val="8"/>
          <w:kern w:val="0"/>
          <w:sz w:val="32"/>
          <w:szCs w:val="32"/>
        </w:rPr>
        <w:t>）为准。带</w:t>
      </w:r>
      <w:r>
        <w:rPr>
          <w:rFonts w:hint="eastAsia" w:ascii="方正仿宋简体" w:hAnsi="Times New Roman" w:eastAsia="方正仿宋简体"/>
          <w:color w:val="000000"/>
          <w:spacing w:val="8"/>
          <w:kern w:val="0"/>
          <w:sz w:val="32"/>
          <w:szCs w:val="32"/>
        </w:rPr>
        <w:t>*</w:t>
      </w:r>
      <w:r>
        <w:rPr>
          <w:rFonts w:hint="eastAsia" w:ascii="方正仿宋简体" w:hAnsi="Times New Roman" w:eastAsia="方正仿宋简体" w:cs="宋体"/>
          <w:color w:val="000000"/>
          <w:spacing w:val="8"/>
          <w:kern w:val="0"/>
          <w:sz w:val="32"/>
          <w:szCs w:val="32"/>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pacing w:line="540" w:lineRule="exact"/>
        <w:rPr>
          <w:rFonts w:ascii="方正仿宋简体" w:eastAsia="方正仿宋简体"/>
        </w:rPr>
      </w:pPr>
      <w:r>
        <w:rPr>
          <w:rFonts w:hint="eastAsia" w:ascii="方正仿宋简体" w:hAnsi="Times New Roman" w:eastAsia="方正仿宋简体" w:cs="宋体"/>
          <w:color w:val="000000"/>
          <w:spacing w:val="8"/>
          <w:kern w:val="0"/>
          <w:sz w:val="32"/>
          <w:szCs w:val="32"/>
        </w:rPr>
        <w:t>　　</w:t>
      </w:r>
      <w:r>
        <w:rPr>
          <w:rFonts w:hint="eastAsia" w:ascii="方正仿宋简体" w:hAnsi="Times New Roman" w:eastAsia="方正仿宋简体"/>
          <w:color w:val="000000"/>
          <w:spacing w:val="8"/>
          <w:kern w:val="0"/>
          <w:sz w:val="32"/>
          <w:szCs w:val="32"/>
        </w:rPr>
        <w:t>3.</w:t>
      </w:r>
      <w:r>
        <w:rPr>
          <w:rFonts w:hint="eastAsia" w:ascii="方正仿宋简体" w:hAnsi="Times New Roman" w:eastAsia="方正仿宋简体" w:cs="宋体"/>
          <w:color w:val="000000"/>
          <w:spacing w:val="8"/>
          <w:kern w:val="0"/>
          <w:sz w:val="32"/>
          <w:szCs w:val="32"/>
        </w:rPr>
        <w:t>企业划分指标以现行统计制度为准。（</w:t>
      </w:r>
      <w:r>
        <w:rPr>
          <w:rFonts w:hint="eastAsia" w:ascii="方正仿宋简体" w:hAnsi="Times New Roman" w:eastAsia="方正仿宋简体"/>
          <w:color w:val="000000"/>
          <w:spacing w:val="8"/>
          <w:kern w:val="0"/>
          <w:sz w:val="32"/>
          <w:szCs w:val="32"/>
        </w:rPr>
        <w:t>1</w:t>
      </w:r>
      <w:r>
        <w:rPr>
          <w:rFonts w:hint="eastAsia" w:ascii="方正仿宋简体" w:hAnsi="Times New Roman" w:eastAsia="方正仿宋简体" w:cs="宋体"/>
          <w:color w:val="000000"/>
          <w:spacing w:val="8"/>
          <w:kern w:val="0"/>
          <w:sz w:val="32"/>
          <w:szCs w:val="32"/>
        </w:rPr>
        <w:t>）从业人员，是指期末从业人员数，没有期末从业人员数的，采用全年平均人员数代替。（</w:t>
      </w:r>
      <w:r>
        <w:rPr>
          <w:rFonts w:hint="eastAsia" w:ascii="方正仿宋简体" w:hAnsi="Times New Roman" w:eastAsia="方正仿宋简体"/>
          <w:color w:val="000000"/>
          <w:spacing w:val="8"/>
          <w:kern w:val="0"/>
          <w:sz w:val="32"/>
          <w:szCs w:val="32"/>
        </w:rPr>
        <w:t>2</w:t>
      </w:r>
      <w:r>
        <w:rPr>
          <w:rFonts w:hint="eastAsia" w:ascii="方正仿宋简体" w:hAnsi="Times New Roman" w:eastAsia="方正仿宋简体" w:cs="宋体"/>
          <w:color w:val="000000"/>
          <w:spacing w:val="8"/>
          <w:kern w:val="0"/>
          <w:sz w:val="32"/>
          <w:szCs w:val="32"/>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方正仿宋简体" w:hAnsi="Times New Roman" w:eastAsia="方正仿宋简体"/>
          <w:color w:val="000000"/>
          <w:spacing w:val="8"/>
          <w:kern w:val="0"/>
          <w:sz w:val="32"/>
          <w:szCs w:val="32"/>
        </w:rPr>
        <w:t>3</w:t>
      </w:r>
      <w:r>
        <w:rPr>
          <w:rFonts w:hint="eastAsia" w:ascii="方正仿宋简体" w:hAnsi="Times New Roman" w:eastAsia="方正仿宋简体" w:cs="宋体"/>
          <w:color w:val="000000"/>
          <w:spacing w:val="8"/>
          <w:kern w:val="0"/>
          <w:sz w:val="32"/>
          <w:szCs w:val="32"/>
        </w:rPr>
        <w:t>）资产</w:t>
      </w:r>
      <w:bookmarkStart w:id="0" w:name="_GoBack"/>
      <w:bookmarkEnd w:id="0"/>
      <w:r>
        <w:rPr>
          <w:rFonts w:hint="eastAsia" w:ascii="方正仿宋简体" w:hAnsi="Times New Roman" w:eastAsia="方正仿宋简体" w:cs="宋体"/>
          <w:color w:val="000000"/>
          <w:spacing w:val="8"/>
          <w:kern w:val="0"/>
          <w:sz w:val="32"/>
          <w:szCs w:val="32"/>
        </w:rPr>
        <w:t>总额，采用资产总计代替。</w:t>
      </w:r>
    </w:p>
    <w:sectPr>
      <w:footerReference r:id="rId3" w:type="even"/>
      <w:pgSz w:w="11906" w:h="16838"/>
      <w:pgMar w:top="1871" w:right="1588" w:bottom="1418" w:left="1588" w:header="851" w:footer="1191" w:gutter="0"/>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pPr>
    <w:r>
      <w:rPr>
        <w:rStyle w:val="8"/>
        <w:rFonts w:hint="eastAsia" w:ascii="宋体" w:hAnsi="宋体" w:cs="宋体"/>
        <w:sz w:val="28"/>
        <w:szCs w:val="28"/>
      </w:rPr>
      <w:t xml:space="preserve">－ </w:t>
    </w:r>
    <w:r>
      <w:rPr>
        <w:rStyle w:val="8"/>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Style w:val="8"/>
        <w:rFonts w:hint="eastAsia" w:ascii="宋体" w:hAnsi="宋体" w:cs="宋体"/>
        <w:sz w:val="28"/>
        <w:szCs w:val="28"/>
      </w:rPr>
      <w:fldChar w:fldCharType="separate"/>
    </w:r>
    <w:r>
      <w:rPr>
        <w:rStyle w:val="8"/>
        <w:rFonts w:ascii="宋体" w:hAnsi="宋体" w:cs="宋体"/>
        <w:sz w:val="28"/>
        <w:szCs w:val="28"/>
      </w:rPr>
      <w:t>6</w:t>
    </w:r>
    <w:r>
      <w:rPr>
        <w:rStyle w:val="8"/>
        <w:rFonts w:hint="eastAsia" w:ascii="宋体" w:hAnsi="宋体" w:cs="宋体"/>
        <w:sz w:val="28"/>
        <w:szCs w:val="28"/>
      </w:rPr>
      <w:fldChar w:fldCharType="end"/>
    </w:r>
    <w:r>
      <w:rPr>
        <w:rStyle w:val="8"/>
        <w:rFonts w:hint="eastAsia" w:ascii="宋体" w:hAnsi="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04"/>
    <w:rsid w:val="000048AA"/>
    <w:rsid w:val="00051EDF"/>
    <w:rsid w:val="0008627A"/>
    <w:rsid w:val="000E08A0"/>
    <w:rsid w:val="002B2451"/>
    <w:rsid w:val="00470AEB"/>
    <w:rsid w:val="00526EAF"/>
    <w:rsid w:val="006274AF"/>
    <w:rsid w:val="007900C1"/>
    <w:rsid w:val="008100DC"/>
    <w:rsid w:val="008430EF"/>
    <w:rsid w:val="0089790C"/>
    <w:rsid w:val="00990DFB"/>
    <w:rsid w:val="009B0E63"/>
    <w:rsid w:val="009E4178"/>
    <w:rsid w:val="00A037FF"/>
    <w:rsid w:val="00A903FE"/>
    <w:rsid w:val="00B91F41"/>
    <w:rsid w:val="00BB55D7"/>
    <w:rsid w:val="00BF6F77"/>
    <w:rsid w:val="00C27263"/>
    <w:rsid w:val="00C55104"/>
    <w:rsid w:val="00CF0632"/>
    <w:rsid w:val="00CF2456"/>
    <w:rsid w:val="00D115BE"/>
    <w:rsid w:val="00D26AE1"/>
    <w:rsid w:val="00DA4212"/>
    <w:rsid w:val="5349686D"/>
    <w:rsid w:val="5E8B2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styleId="8">
    <w:name w:val="page number"/>
    <w:semiHidden/>
    <w:unhideWhenUsed/>
    <w:uiPriority w:val="0"/>
  </w:style>
  <w:style w:type="character" w:customStyle="1" w:styleId="9">
    <w:name w:val="页脚 Char"/>
    <w:basedOn w:val="6"/>
    <w:link w:val="2"/>
    <w:uiPriority w:val="99"/>
    <w:rPr>
      <w:rFonts w:ascii="Calibri" w:hAnsi="Calibri" w:eastAsia="宋体" w:cs="Times New Roman"/>
      <w:sz w:val="18"/>
      <w:szCs w:val="18"/>
    </w:rPr>
  </w:style>
  <w:style w:type="character" w:customStyle="1" w:styleId="10">
    <w:name w:val="页眉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470</Words>
  <Characters>2685</Characters>
  <Lines>22</Lines>
  <Paragraphs>6</Paragraphs>
  <TotalTime>16</TotalTime>
  <ScaleCrop>false</ScaleCrop>
  <LinksUpToDate>false</LinksUpToDate>
  <CharactersWithSpaces>3149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2021-07-23T02:29:00Z</dcterms:created>
  <dc:creator>杜欣(用印)</dc:creator>
  <cp:lastModifiedBy>Administrator</cp:lastModifiedBy>
  <dcterms:modified xsi:type="dcterms:W3CDTF">2021-08-17T02:49:53Z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0A38DD5C27AB48FE90F7EDB2634F6B94</vt:lpwstr>
  </property>
</Properties>
</file>