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鲤城区</w:t>
      </w:r>
      <w:r>
        <w:rPr>
          <w:rFonts w:hint="eastAsia" w:ascii="宋体" w:hAnsi="宋体"/>
          <w:b/>
          <w:sz w:val="30"/>
          <w:szCs w:val="30"/>
        </w:rPr>
        <w:t>征地区片综合地价调整社会稳定风险民意调查问卷</w:t>
      </w:r>
    </w:p>
    <w:tbl>
      <w:tblPr>
        <w:tblStyle w:val="5"/>
        <w:tblW w:w="861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992"/>
        <w:gridCol w:w="709"/>
        <w:gridCol w:w="992"/>
        <w:gridCol w:w="567"/>
        <w:gridCol w:w="960"/>
        <w:gridCol w:w="2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项目概况</w:t>
            </w:r>
          </w:p>
          <w:p>
            <w:pPr>
              <w:widowControl/>
              <w:spacing w:line="240" w:lineRule="auto"/>
              <w:ind w:firstLine="44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2019年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新修订的《土地管理法》，制定征地区片综合地价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是依法合理做好征地补偿安置工作、维护被征地农民合法权益、保障和促进地方经济发展的重要基础性工作。</w:t>
            </w:r>
          </w:p>
          <w:p>
            <w:pPr>
              <w:widowControl/>
              <w:spacing w:line="240" w:lineRule="auto"/>
              <w:ind w:firstLine="44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随着新《土地管理法》和《土地管理法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实施条例》颁布实施，有必要对现行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鲤城区征地区片综合地价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进行调整，以凸显征地补偿标准的现势性，使之与当前经济发展水平相当。</w:t>
            </w:r>
          </w:p>
          <w:p>
            <w:pPr>
              <w:widowControl/>
              <w:spacing w:line="240" w:lineRule="auto"/>
              <w:ind w:firstLine="44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本次调整旨在原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鲤城区征地区片综合地价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补偿标准基础上，结合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综合考虑经济社会发展水平、财政收入、土地价值等因素，适当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调整不降低征地区片综合地价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补偿标准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缩小区域差异，使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征地补偿标准更加科学合理，更好地维护被征地农民合法权益，促进社会和谐稳定和推动经济高质量发展。</w:t>
            </w:r>
          </w:p>
          <w:p>
            <w:pPr>
              <w:widowControl/>
              <w:spacing w:line="240" w:lineRule="auto"/>
              <w:ind w:firstLine="44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为了在工作过程中充分考虑到公众意愿，尊重公众的看法和选择，特发放此调查问卷。本调查采用记名方式，答案没有对错之分，如实回答就是最好的回答。我们保证您的答案仅用于本次的社会稳定风险分析，不会影响到您的个人利害关系。在此表示衷心感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请在被选选项□上划√标记：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、你是通过何种途径了解的本次征收农用地区片综合地价制定项目？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240" w:lineRule="auto"/>
              <w:ind w:firstLine="220" w:firstLineChars="1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</w:rPr>
              <w:t>官方公示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Times New Roman" w:hAnsi="Times New Roman"/>
              </w:rPr>
              <w:t>网络新闻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Times New Roman" w:hAnsi="Times New Roman"/>
              </w:rPr>
              <w:t>本次调查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</w:rPr>
              <w:t>D其他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、您是否了解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征地区片综合地价修订事项？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240" w:lineRule="auto"/>
              <w:ind w:firstLine="330" w:firstLineChars="1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了解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一般了解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不了解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、您</w:t>
            </w:r>
            <w:r>
              <w:rPr>
                <w:rFonts w:ascii="Times New Roman" w:hAnsi="Times New Roman"/>
              </w:rPr>
              <w:t>与本行政辖区的关系？</w:t>
            </w:r>
          </w:p>
          <w:p>
            <w:pPr>
              <w:widowControl/>
              <w:spacing w:line="240" w:lineRule="auto"/>
              <w:ind w:firstLine="330" w:firstLineChars="1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长期居住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临时居住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4、您认为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征地区片综合地价修订完成后对区域经济发展的影响？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40" w:lineRule="auto"/>
              <w:ind w:firstLine="330" w:firstLineChars="1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5、您认为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征地区片综合地价修订完成后对您的生产生活有何影响？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40" w:lineRule="auto"/>
              <w:ind w:firstLine="220" w:firstLineChars="1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6、您对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鲤城区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征地区片综合地价调整的态度？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7、您认为本项目哪些方面最容易发生社会稳定风险？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政策程序合法性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征地补偿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公众参与度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经济社会影响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40" w:lineRule="auto"/>
              <w:ind w:firstLine="330" w:firstLineChars="1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媒体舆论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</w:rPr>
              <w:t>您</w:t>
            </w:r>
            <w:r>
              <w:rPr>
                <w:rFonts w:ascii="Times New Roman" w:hAnsi="Times New Roman"/>
              </w:rPr>
              <w:t>对本次</w:t>
            </w:r>
            <w:r>
              <w:rPr>
                <w:rFonts w:hint="eastAsia" w:ascii="Times New Roman" w:hAnsi="Times New Roman"/>
                <w:lang w:eastAsia="zh-CN"/>
              </w:rPr>
              <w:t>鲤城区</w:t>
            </w:r>
            <w:r>
              <w:rPr>
                <w:rFonts w:ascii="Times New Roman" w:hAnsi="Times New Roman"/>
              </w:rPr>
              <w:t>征</w:t>
            </w:r>
            <w:r>
              <w:rPr>
                <w:rFonts w:hint="eastAsia" w:ascii="Times New Roman" w:hAnsi="Times New Roman"/>
              </w:rPr>
              <w:t>地</w:t>
            </w:r>
            <w:r>
              <w:rPr>
                <w:rFonts w:ascii="Times New Roman" w:hAnsi="Times New Roman"/>
              </w:rPr>
              <w:t>区片综合地价修订事项有什么建议和意见：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6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right="420" w:firstLine="42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/>
        </w:rPr>
        <w:t>填表时间：      年   月   日</w:t>
      </w:r>
    </w:p>
    <w:sectPr>
      <w:footerReference r:id="rId3" w:type="default"/>
      <w:pgSz w:w="11906" w:h="16838"/>
      <w:pgMar w:top="113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...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YmZkNzM2OTQwZjE0MWI5M2NkY2NjMzFkODJjZmMifQ=="/>
  </w:docVars>
  <w:rsids>
    <w:rsidRoot w:val="76272A07"/>
    <w:rsid w:val="001622E7"/>
    <w:rsid w:val="001E492C"/>
    <w:rsid w:val="002117DB"/>
    <w:rsid w:val="00234960"/>
    <w:rsid w:val="003870C3"/>
    <w:rsid w:val="00393F22"/>
    <w:rsid w:val="003E41E4"/>
    <w:rsid w:val="004354A9"/>
    <w:rsid w:val="00490A6D"/>
    <w:rsid w:val="00574AC1"/>
    <w:rsid w:val="00657CF9"/>
    <w:rsid w:val="00680ECB"/>
    <w:rsid w:val="006D3FF2"/>
    <w:rsid w:val="007F4CD7"/>
    <w:rsid w:val="008B2DDD"/>
    <w:rsid w:val="008F54AA"/>
    <w:rsid w:val="00986396"/>
    <w:rsid w:val="00B82C1B"/>
    <w:rsid w:val="00BB55F7"/>
    <w:rsid w:val="00CA5B55"/>
    <w:rsid w:val="00CC427F"/>
    <w:rsid w:val="00CF3B04"/>
    <w:rsid w:val="00D87C6F"/>
    <w:rsid w:val="00DE6088"/>
    <w:rsid w:val="00E464E6"/>
    <w:rsid w:val="00F42FB9"/>
    <w:rsid w:val="04A15BD5"/>
    <w:rsid w:val="0C225880"/>
    <w:rsid w:val="0CF542F2"/>
    <w:rsid w:val="0E2E77ED"/>
    <w:rsid w:val="11AF79D9"/>
    <w:rsid w:val="14650F5A"/>
    <w:rsid w:val="1B245EAD"/>
    <w:rsid w:val="1EDE7018"/>
    <w:rsid w:val="230A2DE3"/>
    <w:rsid w:val="2774755B"/>
    <w:rsid w:val="2B755D65"/>
    <w:rsid w:val="2FE40151"/>
    <w:rsid w:val="32596EEA"/>
    <w:rsid w:val="33386F3E"/>
    <w:rsid w:val="392C25B7"/>
    <w:rsid w:val="3CB007C1"/>
    <w:rsid w:val="41561CA0"/>
    <w:rsid w:val="4F981322"/>
    <w:rsid w:val="5114447F"/>
    <w:rsid w:val="51B00EC3"/>
    <w:rsid w:val="52E57AFF"/>
    <w:rsid w:val="56BF0093"/>
    <w:rsid w:val="57BC5F9A"/>
    <w:rsid w:val="57DE03D5"/>
    <w:rsid w:val="58B042CF"/>
    <w:rsid w:val="5F0230B1"/>
    <w:rsid w:val="62B15070"/>
    <w:rsid w:val="65C153F1"/>
    <w:rsid w:val="66FE145F"/>
    <w:rsid w:val="67966EFB"/>
    <w:rsid w:val="69882A5F"/>
    <w:rsid w:val="6C7926BE"/>
    <w:rsid w:val="6C851A4C"/>
    <w:rsid w:val="6FF528F6"/>
    <w:rsid w:val="70FB484E"/>
    <w:rsid w:val="76272A07"/>
    <w:rsid w:val="76D3754B"/>
    <w:rsid w:val="79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796</Words>
  <Characters>799</Characters>
  <Lines>7</Lines>
  <Paragraphs>1</Paragraphs>
  <TotalTime>4</TotalTime>
  <ScaleCrop>false</ScaleCrop>
  <LinksUpToDate>false</LinksUpToDate>
  <CharactersWithSpaces>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2023-07-06T08:12:00Z</dcterms:created>
  <dc:creator>何英华</dc:creator>
  <cp:lastModifiedBy>Administrator</cp:lastModifiedBy>
  <cp:lastPrinted>2023-07-14T07:19:00Z</cp:lastPrinted>
  <dcterms:modified xsi:type="dcterms:W3CDTF">2023-08-07T01:40:25Z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6F2FAB89A74540E1AB245A77CE1D476A_13</vt:lpwstr>
  </property>
</Properties>
</file>