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309" w:line="185" w:lineRule="auto"/>
        <w:ind w:left="178"/>
        <w:rPr>
          <w:rFonts w:ascii="宋体" w:hAnsi="宋体" w:eastAsia="宋体" w:cs="宋体"/>
          <w:sz w:val="95"/>
          <w:szCs w:val="9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143510</wp:posOffset>
            </wp:positionV>
            <wp:extent cx="1524000" cy="17399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3994" cy="173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color w:val="EA002E"/>
          <w:spacing w:val="-60"/>
          <w:w w:val="67"/>
          <w:sz w:val="95"/>
          <w:szCs w:val="95"/>
        </w:rPr>
        <w:t>泉州市人力资源和社会保障另</w:t>
      </w:r>
    </w:p>
    <w:p>
      <w:pPr>
        <w:spacing w:before="3" w:line="198" w:lineRule="auto"/>
        <w:ind w:left="184" w:right="347"/>
        <w:rPr>
          <w:rFonts w:ascii="宋体" w:hAnsi="宋体" w:eastAsia="宋体" w:cs="宋体"/>
          <w:sz w:val="97"/>
          <w:szCs w:val="97"/>
        </w:rPr>
      </w:pPr>
      <w:r>
        <w:rPr>
          <w:rFonts w:ascii="宋体" w:hAnsi="宋体" w:eastAsia="宋体" w:cs="宋体"/>
          <w:b/>
          <w:bCs/>
          <w:color w:val="EA002E"/>
          <w:spacing w:val="-83"/>
          <w:sz w:val="97"/>
          <w:szCs w:val="97"/>
        </w:rPr>
        <w:t>泉</w:t>
      </w:r>
      <w:r>
        <w:rPr>
          <w:rFonts w:ascii="宋体" w:hAnsi="宋体" w:eastAsia="宋体" w:cs="宋体"/>
          <w:color w:val="EA002E"/>
          <w:spacing w:val="-153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83"/>
          <w:sz w:val="97"/>
          <w:szCs w:val="97"/>
        </w:rPr>
        <w:t>州</w:t>
      </w:r>
      <w:r>
        <w:rPr>
          <w:rFonts w:ascii="宋体" w:hAnsi="宋体" w:eastAsia="宋体" w:cs="宋体"/>
          <w:color w:val="EA002E"/>
          <w:spacing w:val="-137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83"/>
          <w:sz w:val="97"/>
          <w:szCs w:val="97"/>
        </w:rPr>
        <w:t>市</w:t>
      </w:r>
      <w:r>
        <w:rPr>
          <w:rFonts w:ascii="宋体" w:hAnsi="宋体" w:eastAsia="宋体" w:cs="宋体"/>
          <w:color w:val="EA002E"/>
          <w:spacing w:val="-151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83"/>
          <w:sz w:val="97"/>
          <w:szCs w:val="97"/>
        </w:rPr>
        <w:t>教</w:t>
      </w:r>
      <w:r>
        <w:rPr>
          <w:rFonts w:ascii="宋体" w:hAnsi="宋体" w:eastAsia="宋体" w:cs="宋体"/>
          <w:color w:val="EA002E"/>
          <w:spacing w:val="-124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83"/>
          <w:sz w:val="97"/>
          <w:szCs w:val="97"/>
        </w:rPr>
        <w:t>育</w:t>
      </w:r>
      <w:r>
        <w:rPr>
          <w:rFonts w:ascii="宋体" w:hAnsi="宋体" w:eastAsia="宋体" w:cs="宋体"/>
          <w:color w:val="EA002E"/>
          <w:spacing w:val="-151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83"/>
          <w:sz w:val="97"/>
          <w:szCs w:val="97"/>
        </w:rPr>
        <w:t>局文件</w:t>
      </w:r>
      <w:r>
        <w:rPr>
          <w:rFonts w:ascii="宋体" w:hAnsi="宋体" w:eastAsia="宋体" w:cs="宋体"/>
          <w:color w:val="EA002E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33"/>
          <w:sz w:val="97"/>
          <w:szCs w:val="97"/>
        </w:rPr>
        <w:t>泉</w:t>
      </w:r>
      <w:r>
        <w:rPr>
          <w:rFonts w:ascii="宋体" w:hAnsi="宋体" w:eastAsia="宋体" w:cs="宋体"/>
          <w:color w:val="EA002E"/>
          <w:spacing w:val="-133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33"/>
          <w:sz w:val="97"/>
          <w:szCs w:val="97"/>
        </w:rPr>
        <w:t>州</w:t>
      </w:r>
      <w:r>
        <w:rPr>
          <w:rFonts w:ascii="宋体" w:hAnsi="宋体" w:eastAsia="宋体" w:cs="宋体"/>
          <w:color w:val="EA002E"/>
          <w:spacing w:val="-114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33"/>
          <w:sz w:val="97"/>
          <w:szCs w:val="97"/>
        </w:rPr>
        <w:t>市</w:t>
      </w:r>
      <w:r>
        <w:rPr>
          <w:rFonts w:ascii="宋体" w:hAnsi="宋体" w:eastAsia="宋体" w:cs="宋体"/>
          <w:color w:val="EA002E"/>
          <w:spacing w:val="-136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33"/>
          <w:sz w:val="97"/>
          <w:szCs w:val="97"/>
        </w:rPr>
        <w:t>财</w:t>
      </w:r>
      <w:r>
        <w:rPr>
          <w:rFonts w:ascii="宋体" w:hAnsi="宋体" w:eastAsia="宋体" w:cs="宋体"/>
          <w:color w:val="EA002E"/>
          <w:spacing w:val="-145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33"/>
          <w:sz w:val="97"/>
          <w:szCs w:val="97"/>
        </w:rPr>
        <w:t>政</w:t>
      </w:r>
      <w:r>
        <w:rPr>
          <w:rFonts w:ascii="宋体" w:hAnsi="宋体" w:eastAsia="宋体" w:cs="宋体"/>
          <w:color w:val="EA002E"/>
          <w:spacing w:val="-116"/>
          <w:sz w:val="97"/>
          <w:szCs w:val="97"/>
        </w:rPr>
        <w:t xml:space="preserve"> </w:t>
      </w:r>
      <w:r>
        <w:rPr>
          <w:rFonts w:ascii="宋体" w:hAnsi="宋体" w:eastAsia="宋体" w:cs="宋体"/>
          <w:b/>
          <w:bCs/>
          <w:color w:val="EA002E"/>
          <w:spacing w:val="-33"/>
          <w:sz w:val="97"/>
          <w:szCs w:val="97"/>
        </w:rPr>
        <w:t>月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107" w:line="220" w:lineRule="auto"/>
        <w:ind w:left="3079"/>
        <w:rPr>
          <w:rFonts w:ascii="宋体" w:hAnsi="宋体" w:eastAsia="宋体" w:cs="宋体"/>
          <w:sz w:val="33"/>
          <w:szCs w:val="33"/>
        </w:rPr>
      </w:pPr>
      <w:r>
        <w:pict>
          <v:rect id="_x0000_s1026" o:spid="_x0000_s1026" o:spt="1" style="position:absolute;left:0pt;margin-left:0pt;margin-top:32.8pt;height:3pt;width:471pt;z-index:-251657216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o:spt="202" type="#_x0000_t202" style="position:absolute;left:0pt;margin-left:32.95pt;margin-top:-19.15pt;height:78.05pt;width:124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520" w:lineRule="exact"/>
                    <w:ind w:left="20"/>
                  </w:pPr>
                  <w:r>
                    <w:rPr>
                      <w:position w:val="-30"/>
                    </w:rPr>
                    <w:drawing>
                      <wp:inline distT="0" distB="0" distL="0" distR="0">
                        <wp:extent cx="1555115" cy="965200"/>
                        <wp:effectExtent l="0" t="0" r="0" b="0"/>
                        <wp:docPr id="2" name="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 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5732" cy="965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33"/>
          <w:szCs w:val="33"/>
        </w:rPr>
        <w:t>泉人社文〔2022〕297号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33" w:line="219" w:lineRule="auto"/>
        <w:ind w:left="346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37"/>
          <w:sz w:val="41"/>
          <w:szCs w:val="41"/>
        </w:rPr>
        <w:t>泉州市人力资源和社会保障局泉州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37"/>
          <w:sz w:val="41"/>
          <w:szCs w:val="41"/>
        </w:rPr>
        <w:t>市教育局</w:t>
      </w:r>
    </w:p>
    <w:p>
      <w:pPr>
        <w:spacing w:before="23" w:line="219" w:lineRule="auto"/>
        <w:ind w:left="42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泉州市财政局转发省人力资源和社会保障厅</w:t>
      </w:r>
    </w:p>
    <w:p>
      <w:pPr>
        <w:spacing w:before="20" w:line="219" w:lineRule="auto"/>
        <w:ind w:left="99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"/>
          <w:sz w:val="45"/>
          <w:szCs w:val="45"/>
        </w:rPr>
        <w:t>省教育厅省财政厅关于拓宽失业保险</w:t>
      </w:r>
    </w:p>
    <w:p>
      <w:pPr>
        <w:spacing w:before="17" w:line="220" w:lineRule="auto"/>
        <w:ind w:left="17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0"/>
          <w:sz w:val="45"/>
          <w:szCs w:val="45"/>
        </w:rPr>
        <w:t>助企扩岗政策受益范围的通知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11" w:line="305" w:lineRule="auto"/>
        <w:ind w:left="169" w:right="392"/>
        <w:jc w:val="both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2"/>
          <w:sz w:val="34"/>
          <w:szCs w:val="34"/>
        </w:rPr>
        <w:t>各县(市、区)人力资源和社会保障局、教育局、财政局，泉州</w:t>
      </w:r>
      <w:r>
        <w:rPr>
          <w:rFonts w:ascii="宋体" w:hAnsi="宋体" w:eastAsia="宋体" w:cs="宋体"/>
          <w:spacing w:val="1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24"/>
          <w:sz w:val="34"/>
          <w:szCs w:val="34"/>
        </w:rPr>
        <w:t>开发区社会事业局、财政局，泉州台商投资区民生保障局</w:t>
      </w:r>
      <w:r>
        <w:rPr>
          <w:rFonts w:ascii="宋体" w:hAnsi="宋体" w:eastAsia="宋体" w:cs="宋体"/>
          <w:spacing w:val="-25"/>
          <w:sz w:val="34"/>
          <w:szCs w:val="34"/>
        </w:rPr>
        <w:t>、教育</w:t>
      </w:r>
    </w:p>
    <w:p>
      <w:pPr>
        <w:spacing w:line="220" w:lineRule="auto"/>
        <w:ind w:left="16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26"/>
          <w:sz w:val="34"/>
          <w:szCs w:val="34"/>
        </w:rPr>
        <w:t>文体旅游局、财政局：</w:t>
      </w:r>
    </w:p>
    <w:p>
      <w:pPr>
        <w:spacing w:before="164" w:line="304" w:lineRule="auto"/>
        <w:ind w:left="169" w:right="370" w:firstLine="669"/>
        <w:jc w:val="both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2"/>
          <w:sz w:val="34"/>
          <w:szCs w:val="34"/>
        </w:rPr>
        <w:t>现将《福建省人力资源和社会保障厅福建省教育厅福建省</w:t>
      </w:r>
      <w:r>
        <w:rPr>
          <w:rFonts w:ascii="宋体" w:hAnsi="宋体" w:eastAsia="宋体" w:cs="宋体"/>
          <w:spacing w:val="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8"/>
          <w:sz w:val="34"/>
          <w:szCs w:val="34"/>
        </w:rPr>
        <w:t>财政厅关于拓宽失业保险助企扩岗政策受益范围的通知》(闽人</w:t>
      </w:r>
    </w:p>
    <w:p>
      <w:pPr>
        <w:spacing w:line="219" w:lineRule="auto"/>
        <w:ind w:left="16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0"/>
          <w:sz w:val="34"/>
          <w:szCs w:val="34"/>
        </w:rPr>
        <w:t>社文〔2022〕149号)转发给你们，请各地认真贯彻执行，务必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89" w:line="184" w:lineRule="auto"/>
        <w:ind w:left="805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—</w:t>
      </w:r>
      <w:r>
        <w:rPr>
          <w:rFonts w:ascii="宋体" w:hAnsi="宋体" w:eastAsia="宋体" w:cs="宋体"/>
          <w:spacing w:val="-10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3"/>
          <w:sz w:val="27"/>
          <w:szCs w:val="27"/>
        </w:rPr>
        <w:t>1—</w:t>
      </w:r>
    </w:p>
    <w:p>
      <w:pPr>
        <w:sectPr>
          <w:headerReference r:id="rId5" w:type="default"/>
          <w:pgSz w:w="11900" w:h="16830"/>
          <w:pgMar w:top="400" w:right="1110" w:bottom="0" w:left="1370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4774565</wp:posOffset>
            </wp:positionH>
            <wp:positionV relativeFrom="page">
              <wp:posOffset>2336800</wp:posOffset>
            </wp:positionV>
            <wp:extent cx="1555750" cy="15557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5807" cy="155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抓紧发放到位。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7" w:line="219" w:lineRule="auto"/>
        <w:ind w:left="670"/>
        <w:rPr>
          <w:rFonts w:ascii="宋体" w:hAnsi="宋体" w:eastAsia="宋体" w:cs="宋体"/>
          <w:sz w:val="30"/>
          <w:szCs w:val="30"/>
        </w:rPr>
      </w:pPr>
      <w:r>
        <w:pict>
          <v:shape id="_x0000_s1028" o:spid="_x0000_s1028" o:spt="202" type="#_x0000_t202" style="position:absolute;left:0pt;margin-left:305.5pt;margin-top:4.35pt;height:19.8pt;width:95.9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30"/>
                      <w:szCs w:val="30"/>
                    </w:rPr>
                    <w:t>泉州市教育局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-624205</wp:posOffset>
            </wp:positionV>
            <wp:extent cx="1543050" cy="1549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7"/>
          <w:sz w:val="30"/>
          <w:szCs w:val="30"/>
        </w:rPr>
        <w:t>泉州市人力资源和社会保障局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8" w:line="219" w:lineRule="auto"/>
        <w:ind w:right="16"/>
        <w:jc w:val="right"/>
        <w:rPr>
          <w:rFonts w:ascii="宋体" w:hAnsi="宋体" w:eastAsia="宋体" w:cs="宋体"/>
          <w:sz w:val="30"/>
          <w:szCs w:val="30"/>
        </w:rPr>
      </w:pPr>
      <w:r>
        <w:pict>
          <v:shape id="_x0000_s1029" o:spid="_x0000_s1029" o:spt="202" type="#_x0000_t202" style="position:absolute;left:0pt;margin-left:305.5pt;margin-top:-24.6pt;height:19.8pt;width:95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30"/>
                      <w:szCs w:val="30"/>
                    </w:rPr>
                    <w:t>泉州市财政局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-859155</wp:posOffset>
            </wp:positionV>
            <wp:extent cx="1517650" cy="153670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7647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9"/>
          <w:sz w:val="30"/>
          <w:szCs w:val="30"/>
        </w:rPr>
        <w:t>2022年10月31/日</w:t>
      </w:r>
    </w:p>
    <w:p>
      <w:pPr>
        <w:sectPr>
          <w:headerReference r:id="rId6" w:type="default"/>
          <w:footerReference r:id="rId7" w:type="default"/>
          <w:pgSz w:w="11900" w:h="16830"/>
          <w:pgMar w:top="400" w:right="1719" w:bottom="1840" w:left="1579" w:header="0" w:footer="1542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43" w:line="219" w:lineRule="auto"/>
        <w:ind w:left="1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福建省人力资源和社会保障厅福建省教育厅</w:t>
      </w:r>
    </w:p>
    <w:p>
      <w:pPr>
        <w:spacing w:line="219" w:lineRule="auto"/>
        <w:ind w:left="9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福建省财政厅关于拓宽失业保险助企</w:t>
      </w:r>
    </w:p>
    <w:p>
      <w:pPr>
        <w:spacing w:line="220" w:lineRule="auto"/>
        <w:ind w:left="20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扩岗政策受益范围的通知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4" w:line="225" w:lineRule="auto"/>
        <w:ind w:left="270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闽人社文〔2022〕149号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521" w:lineRule="exac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position w:val="14"/>
          <w:sz w:val="32"/>
          <w:szCs w:val="32"/>
        </w:rPr>
        <w:t>各设区市人力资源和社会保障局、教育局、财政局，平潭综合实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验区社会事业局、财政金融局：</w:t>
      </w:r>
    </w:p>
    <w:p>
      <w:pPr>
        <w:spacing w:before="164" w:line="299" w:lineRule="auto"/>
        <w:ind w:right="29" w:firstLine="6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为深入贯彻落实国务院加力支持就业创业决策部署，进一步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发挥失业保险助企稳岗扩岗作用，助力扩展就业</w:t>
      </w:r>
      <w:r>
        <w:rPr>
          <w:rFonts w:ascii="宋体" w:hAnsi="宋体" w:eastAsia="宋体" w:cs="宋体"/>
          <w:spacing w:val="-6"/>
          <w:sz w:val="32"/>
          <w:szCs w:val="32"/>
        </w:rPr>
        <w:t>空间，根据《人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9"/>
          <w:sz w:val="32"/>
          <w:szCs w:val="32"/>
        </w:rPr>
        <w:t>力资源社会保障部办公厅教育部办公厅财政部办公厅关于拓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"/>
          <w:sz w:val="32"/>
          <w:szCs w:val="32"/>
        </w:rPr>
        <w:t>宽失业保险助企扩岗政策受益范国的通知》(人社厅发〔2022〕</w:t>
      </w:r>
    </w:p>
    <w:p>
      <w:pPr>
        <w:spacing w:line="216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52号),现就有关事项通知如下：</w:t>
      </w:r>
    </w:p>
    <w:p>
      <w:pPr>
        <w:spacing w:before="170" w:line="300" w:lineRule="auto"/>
        <w:ind w:firstLine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一、拓宽一次性扩岗补助政策受益范围。</w:t>
      </w:r>
      <w:r>
        <w:rPr>
          <w:rFonts w:ascii="宋体" w:hAnsi="宋体" w:eastAsia="宋体" w:cs="宋体"/>
          <w:spacing w:val="12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由企业招用20</w:t>
      </w:r>
      <w:r>
        <w:rPr>
          <w:rFonts w:ascii="宋体" w:hAnsi="宋体" w:eastAsia="宋体" w:cs="宋体"/>
          <w:spacing w:val="-5"/>
          <w:sz w:val="32"/>
          <w:szCs w:val="32"/>
        </w:rPr>
        <w:t>22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6"/>
          <w:sz w:val="32"/>
          <w:szCs w:val="32"/>
        </w:rPr>
        <w:t>年度普通高校毕业生拓展至离校两年内未就业普通高校毕业生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>和登记失业的16-24岁青年。政策执行至2022年12月底。离校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两年内未就业普通高校毕业生，是指2020年7月</w:t>
      </w:r>
      <w:r>
        <w:rPr>
          <w:rFonts w:ascii="宋体" w:hAnsi="宋体" w:eastAsia="宋体" w:cs="宋体"/>
          <w:spacing w:val="10"/>
          <w:sz w:val="32"/>
          <w:szCs w:val="32"/>
        </w:rPr>
        <w:t>份后、2021年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"/>
          <w:sz w:val="32"/>
          <w:szCs w:val="32"/>
        </w:rPr>
        <w:t>7月份后教育部门移交的实名制未就业高校毕业生数据信</w:t>
      </w:r>
      <w:r>
        <w:rPr>
          <w:rFonts w:ascii="宋体" w:hAnsi="宋体" w:eastAsia="宋体" w:cs="宋体"/>
          <w:sz w:val="32"/>
          <w:szCs w:val="32"/>
        </w:rPr>
        <w:t>息中的 人员；登记失业的16-24岁青年身份由各地依据所掌握的失业登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记数据确认。</w:t>
      </w:r>
    </w:p>
    <w:p>
      <w:pPr>
        <w:spacing w:before="188" w:line="306" w:lineRule="auto"/>
        <w:ind w:right="36" w:firstLine="66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省级将按月比对参保信息和上述两类人员信息，下发符合条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件的企业和人员名单，各地要进一步核对确认</w:t>
      </w:r>
      <w:r>
        <w:rPr>
          <w:rFonts w:ascii="宋体" w:hAnsi="宋体" w:eastAsia="宋体" w:cs="宋体"/>
          <w:spacing w:val="-6"/>
          <w:sz w:val="32"/>
          <w:szCs w:val="32"/>
        </w:rPr>
        <w:t>，主动发放一次性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扩岗补助。审核流程、发放时限、数据管理、畅通领安全办等相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关要求，按照关于《转发人力资源社会保障部办公厅教育部办</w:t>
      </w:r>
    </w:p>
    <w:p>
      <w:pPr>
        <w:sectPr>
          <w:footerReference r:id="rId8" w:type="default"/>
          <w:pgSz w:w="11900" w:h="16830"/>
          <w:pgMar w:top="400" w:right="1450" w:bottom="1739" w:left="1579" w:header="0" w:footer="1471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  <w:r>
        <w:pict>
          <v:shape id="_x0000_s1030" o:spid="_x0000_s1030" o:spt="202" type="#_x0000_t202" style="position:absolute;left:0pt;margin-left:78.45pt;margin-top:758.95pt;height:12.55pt;width:40.3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0" w:lineRule="exact"/>
                    <w:ind w:left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position w:val="-5"/>
                      <w:sz w:val="31"/>
                      <w:szCs w:val="31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9"/>
                      <w:position w:val="-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position w:val="-5"/>
                      <w:sz w:val="31"/>
                      <w:szCs w:val="31"/>
                    </w:rPr>
                    <w:t>—</w:t>
                  </w:r>
                </w:p>
              </w:txbxContent>
            </v:textbox>
          </v:shape>
        </w:pic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0" w:line="530" w:lineRule="exact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position w:val="16"/>
          <w:sz w:val="31"/>
          <w:szCs w:val="31"/>
        </w:rPr>
        <w:t>公厅财政部办公厅关于加快落实一次性扩岗补助政策有关工作</w:t>
      </w:r>
    </w:p>
    <w:p>
      <w:pPr>
        <w:spacing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的通知》(闽人社办〔2022〕134号)执行。</w:t>
      </w:r>
    </w:p>
    <w:p>
      <w:pPr>
        <w:spacing w:before="159" w:line="310" w:lineRule="auto"/>
        <w:ind w:left="9" w:firstLine="67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二、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推进政策尽快落地见效。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各地要提高站位，高度重视，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充分认清拓宽对企业扩岗政策受益范围，是用足用好失业保险基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金，维护就业局势总体稳定的重要举措。相关部门要加强协调配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合，形成合力，充分用好大数据比对，尽快实现政策落地见</w:t>
      </w:r>
      <w:r>
        <w:rPr>
          <w:rFonts w:ascii="宋体" w:hAnsi="宋体" w:eastAsia="宋体" w:cs="宋体"/>
          <w:spacing w:val="6"/>
          <w:sz w:val="31"/>
          <w:szCs w:val="31"/>
        </w:rPr>
        <w:t>效。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要强化政策宣传引导，多渠道宣传政策信息，让企业普遍知悉运</w:t>
      </w:r>
    </w:p>
    <w:p>
      <w:pPr>
        <w:spacing w:line="219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用政策，及时总结推广好的做法，有效扩大政策效果。</w:t>
      </w:r>
    </w:p>
    <w:p>
      <w:pPr>
        <w:spacing w:before="148" w:line="310" w:lineRule="auto"/>
        <w:ind w:left="9" w:right="99" w:firstLine="67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三、</w:t>
      </w:r>
      <w:r>
        <w:rPr>
          <w:rFonts w:ascii="宋体" w:hAnsi="宋体" w:eastAsia="宋体" w:cs="宋体"/>
          <w:spacing w:val="-6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严格数据管理及数据上报质量。</w:t>
      </w:r>
      <w:r>
        <w:rPr>
          <w:rFonts w:ascii="宋体" w:hAnsi="宋体" w:eastAsia="宋体" w:cs="宋体"/>
          <w:spacing w:val="1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省级正组织开发“一次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性扩岗补助管理”系统模块，拟于近期上线运行，各地要组织做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好系统操作培训及一次性扩岗补助数据整理工作，每月15日前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通过系统上报将上月享受一次性扩岗补助的人员信息，相关数据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需与失业保险基金财务月报、季报数据保持一致。系统正式上</w:t>
      </w:r>
      <w:r>
        <w:rPr>
          <w:rFonts w:ascii="宋体" w:hAnsi="宋体" w:eastAsia="宋体" w:cs="宋体"/>
          <w:spacing w:val="3"/>
          <w:sz w:val="31"/>
          <w:szCs w:val="31"/>
        </w:rPr>
        <w:t>线</w:t>
      </w:r>
    </w:p>
    <w:p>
      <w:pPr>
        <w:spacing w:before="1" w:line="218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前，先采用手工电子表格方式上报，上报时间为每月15日。</w:t>
      </w:r>
    </w:p>
    <w:p>
      <w:pPr>
        <w:spacing w:before="211" w:line="218" w:lineRule="auto"/>
        <w:ind w:left="6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在执行中遇到重大情况和问题，请及时报告。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2" w:line="521" w:lineRule="exact"/>
        <w:ind w:left="41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15"/>
          <w:sz w:val="31"/>
          <w:szCs w:val="31"/>
        </w:rPr>
        <w:t>福建省人力资源和社会保障厅</w:t>
      </w:r>
    </w:p>
    <w:p>
      <w:pPr>
        <w:spacing w:line="219" w:lineRule="auto"/>
        <w:ind w:left="41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福建省教育厅</w:t>
      </w:r>
    </w:p>
    <w:p>
      <w:pPr>
        <w:spacing w:before="152" w:line="219" w:lineRule="auto"/>
        <w:ind w:left="41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福建省财政厅</w:t>
      </w:r>
    </w:p>
    <w:p>
      <w:pPr>
        <w:spacing w:before="153" w:line="219" w:lineRule="auto"/>
        <w:ind w:left="41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1"/>
          <w:sz w:val="31"/>
          <w:szCs w:val="31"/>
        </w:rPr>
        <w:t>2022年10月19日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0" w:lineRule="exact"/>
        <w:ind w:firstLine="9"/>
        <w:textAlignment w:val="center"/>
      </w:pPr>
      <w:r>
        <w:drawing>
          <wp:inline distT="0" distB="0" distL="0" distR="0">
            <wp:extent cx="5626100" cy="12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6116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1" w:line="226" w:lineRule="auto"/>
        <w:ind w:left="3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5"/>
          <w:position w:val="1"/>
          <w:sz w:val="31"/>
          <w:szCs w:val="31"/>
        </w:rPr>
        <w:t>泉州市人力资源和社会保障局办公室</w:t>
      </w:r>
      <w:r>
        <w:rPr>
          <w:rFonts w:ascii="宋体" w:hAnsi="宋体" w:eastAsia="宋体" w:cs="宋体"/>
          <w:spacing w:val="17"/>
          <w:position w:val="1"/>
          <w:sz w:val="31"/>
          <w:szCs w:val="31"/>
        </w:rPr>
        <w:t xml:space="preserve">       </w:t>
      </w:r>
      <w:r>
        <w:rPr>
          <w:rFonts w:ascii="宋体" w:hAnsi="宋体" w:eastAsia="宋体" w:cs="宋体"/>
          <w:spacing w:val="-25"/>
          <w:position w:val="-1"/>
          <w:sz w:val="31"/>
          <w:szCs w:val="31"/>
        </w:rPr>
        <w:t>2022年10月31日印发</w:t>
      </w:r>
    </w:p>
    <w:p>
      <w:pPr>
        <w:spacing w:before="29" w:line="20" w:lineRule="exact"/>
        <w:textAlignment w:val="center"/>
      </w:pPr>
      <w:r>
        <w:drawing>
          <wp:inline distT="0" distB="0" distL="0" distR="0">
            <wp:extent cx="5632450" cy="1270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2463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9" w:type="default"/>
      <w:pgSz w:w="11900" w:h="16830"/>
      <w:pgMar w:top="400" w:right="1384" w:bottom="1727" w:left="1579" w:header="0" w:footer="14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4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2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006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1209</Words>
  <Characters>1273</Characters>
  <TotalTime>9</TotalTime>
  <ScaleCrop>false</ScaleCrop>
  <LinksUpToDate>false</LinksUpToDate>
  <CharactersWithSpaces>1317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2022-11-08T11:06:00Z</dcterms:created>
  <dc:creator>Kingsoft-PDF</dc:creator>
  <cp:keywords>6369c79eb01fb900159117c1</cp:keywords>
  <cp:lastModifiedBy>波</cp:lastModifiedBy>
  <dcterms:modified xsi:type="dcterms:W3CDTF">2022-11-08T03:35:10Z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2022-11-08T11:06:16Z</vt:filetime>
  </property>
  <property fmtid="{D5CDD505-2E9C-101B-9397-08002B2CF9AE}" pid="4" name="KSOProductBuildVer">
    <vt:lpwstr>2052-11.1.0.12763</vt:lpwstr>
  </property>
  <property fmtid="{D5CDD505-2E9C-101B-9397-08002B2CF9AE}" pid="5" name="ICV">
    <vt:lpwstr>98AE670D07314F838123261929B1FC34</vt:lpwstr>
  </property>
</Properties>
</file>