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883" w:firstLineChars="200"/>
        <w:jc w:val="center"/>
        <w:rPr>
          <w:rFonts w:ascii="Times New Roman" w:hAnsi="Times New Roman" w:eastAsia="方正仿宋简体"/>
          <w:b/>
          <w:bCs/>
          <w:sz w:val="44"/>
          <w:szCs w:val="44"/>
        </w:rPr>
      </w:pPr>
    </w:p>
    <w:p>
      <w:pPr>
        <w:spacing w:line="660" w:lineRule="exact"/>
        <w:ind w:firstLine="883" w:firstLineChars="200"/>
        <w:jc w:val="center"/>
        <w:rPr>
          <w:rFonts w:ascii="Times New Roman" w:hAnsi="Times New Roman" w:eastAsia="方正仿宋简体"/>
          <w:b/>
          <w:bCs/>
          <w:sz w:val="44"/>
          <w:szCs w:val="44"/>
        </w:rPr>
      </w:pPr>
    </w:p>
    <w:p>
      <w:pPr>
        <w:spacing w:line="660" w:lineRule="exact"/>
        <w:ind w:firstLine="883" w:firstLineChars="200"/>
        <w:jc w:val="center"/>
        <w:rPr>
          <w:rFonts w:ascii="Times New Roman" w:hAnsi="Times New Roman" w:eastAsia="方正仿宋简体"/>
          <w:b/>
          <w:bCs/>
          <w:sz w:val="44"/>
          <w:szCs w:val="44"/>
        </w:rPr>
      </w:pPr>
    </w:p>
    <w:p>
      <w:pPr>
        <w:spacing w:line="660" w:lineRule="exact"/>
        <w:ind w:firstLine="883" w:firstLineChars="200"/>
        <w:jc w:val="center"/>
        <w:rPr>
          <w:rFonts w:ascii="Times New Roman" w:hAnsi="Times New Roman" w:eastAsia="方正仿宋简体"/>
          <w:b/>
          <w:bCs/>
          <w:sz w:val="44"/>
          <w:szCs w:val="44"/>
        </w:rPr>
      </w:pPr>
    </w:p>
    <w:p>
      <w:pPr>
        <w:pStyle w:val="2"/>
        <w:rPr>
          <w:rFonts w:ascii="Times New Roman" w:hAnsi="Times New Roman" w:eastAsia="方正仿宋简体"/>
          <w:b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7" w:firstLineChars="68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7" w:firstLineChars="68"/>
        <w:jc w:val="center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zh-CN"/>
        </w:rPr>
        <w:t>泉鲤城管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zh-CN" w:eastAsia="zh-CN"/>
        </w:rPr>
        <w:t>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〔202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泉州市鲤城区城市管理</w:t>
      </w:r>
      <w:r>
        <w:rPr>
          <w:rFonts w:hint="eastAsia" w:eastAsia="方正小标宋简体" w:cs="Times New Roman"/>
          <w:spacing w:val="-20"/>
          <w:sz w:val="44"/>
          <w:szCs w:val="44"/>
          <w:lang w:eastAsia="zh-CN"/>
        </w:rPr>
        <w:t>和综合执法局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pacing w:val="-20"/>
          <w:sz w:val="44"/>
          <w:szCs w:val="44"/>
          <w:lang w:val="en-US" w:eastAsia="zh-CN"/>
        </w:rPr>
        <w:t>4年度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行政规范性文件清理结果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</w:pPr>
      <w:r>
        <w:rPr>
          <w:rFonts w:hint="eastAsia" w:eastAsia="方正小标宋简体" w:cs="Times New Roman"/>
          <w:spacing w:val="-20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局机关各股室，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下属事业单位</w:t>
      </w:r>
      <w:r>
        <w:rPr>
          <w:rFonts w:hint="eastAsia" w:eastAsia="方正仿宋简体" w:cs="Times New Roman"/>
          <w:sz w:val="32"/>
          <w:szCs w:val="32"/>
          <w:lang w:eastAsia="zh-CN"/>
        </w:rPr>
        <w:t>，各执法中队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</w:t>
      </w:r>
      <w:r>
        <w:rPr>
          <w:rFonts w:hint="eastAsia" w:eastAsia="方正仿宋简体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泉州市人民政府关印发泉州市行政机关规范性文件管理规定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的通知》（泉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政规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〔2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022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有关规定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我局对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以鲤城区城市管理局名义发布的现行有效规范性文件进行清理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，清理结果已经局长办公会研究通过。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现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公布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-220" w:leftChars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现行有效行政规范性文件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件（详见附件1）。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-220" w:leftChars="0" w:firstLine="64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宣布失效（废止）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的行政规范性文件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件（详见附件2）。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宣布失效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或废止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的规范性文件，自本通知公布之日起不再执行，不得作为行政管理依据。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现行有效行政规范性文件目录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2.宣布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失效（废止）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的行政规范性文件目录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640" w:firstLine="66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640" w:firstLine="66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640" w:firstLine="66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泉州市鲤城区城市管理</w:t>
      </w:r>
      <w:r>
        <w:rPr>
          <w:rFonts w:hint="eastAsia" w:eastAsia="方正仿宋简体" w:cs="Times New Roman"/>
          <w:sz w:val="32"/>
          <w:szCs w:val="32"/>
          <w:lang w:eastAsia="zh-CN"/>
        </w:rPr>
        <w:t>和综合执法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640" w:firstLine="66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202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640" w:firstLine="320" w:firstLineChars="100"/>
        <w:jc w:val="both"/>
        <w:textAlignment w:val="auto"/>
        <w:rPr>
          <w:rFonts w:hint="default" w:eastAsia="方正仿宋简体" w:cs="方正仿宋简体"/>
          <w:spacing w:val="1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 w:cs="方正仿宋简体"/>
          <w:spacing w:val="10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  <w:lang w:val="en-US" w:eastAsia="zh-CN"/>
        </w:rPr>
        <w:t xml:space="preserve">  </w:t>
      </w:r>
    </w:p>
    <w:p>
      <w:pPr>
        <w:spacing w:line="600" w:lineRule="exact"/>
        <w:jc w:val="center"/>
        <w:rPr>
          <w:rFonts w:hint="default" w:ascii="方正仿宋简体" w:hAnsi="仿宋" w:eastAsia="方正仿宋简体" w:cs="方正仿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  <w:lang w:val="en-US" w:eastAsia="zh-CN"/>
        </w:rPr>
        <w:t xml:space="preserve"> 现行有效行政规范性文件目录（6件）</w:t>
      </w:r>
    </w:p>
    <w:tbl>
      <w:tblPr>
        <w:tblStyle w:val="6"/>
        <w:tblpPr w:leftFromText="180" w:rightFromText="180" w:vertAnchor="text" w:horzAnchor="page" w:tblpX="1462" w:tblpY="367"/>
        <w:tblOverlap w:val="never"/>
        <w:tblW w:w="9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5175"/>
        <w:gridCol w:w="3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方正仿宋简体" w:hAnsi="仿宋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仿宋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75" w:type="dxa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方正仿宋简体" w:hAnsi="仿宋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仿宋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规范性文件名称</w:t>
            </w:r>
          </w:p>
        </w:tc>
        <w:tc>
          <w:tcPr>
            <w:tcW w:w="3248" w:type="dxa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方正仿宋简体" w:hAnsi="仿宋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仿宋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泉州市鲤城区城市管理局关于印发《鲤城区城市管理行政执法程序规定》等十三项制度的通知</w:t>
            </w:r>
          </w:p>
        </w:tc>
        <w:tc>
          <w:tcPr>
            <w:tcW w:w="3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泉鲤城管〔202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〕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泉州市鲤城区城市管理局关于下放非工程建设涉及城市绿地、树木审批工作的通知</w:t>
            </w:r>
          </w:p>
        </w:tc>
        <w:tc>
          <w:tcPr>
            <w:tcW w:w="3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泉鲤城管〔202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〕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泉州市鲤城区城市管理局关于印发《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鲤城区排水许可专项整治行动方案》的通知</w:t>
            </w:r>
          </w:p>
        </w:tc>
        <w:tc>
          <w:tcPr>
            <w:tcW w:w="3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hanging="264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泉鲤城管规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〔2022〕</w:t>
            </w:r>
            <w:r>
              <w:rPr>
                <w:rFonts w:hint="eastAsia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泉州市鲤城区城市管理局关于印发《鲤城区城市管理行政处罚裁量细化标准》的通知</w:t>
            </w:r>
          </w:p>
        </w:tc>
        <w:tc>
          <w:tcPr>
            <w:tcW w:w="3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hanging="264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泉鲤城管规〔2024〕2号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泉州市鲤城区城市管理局关于印发《鲤城区城市管理局赋权街道行政处罚事项裁量标准》的通知</w:t>
            </w:r>
          </w:p>
        </w:tc>
        <w:tc>
          <w:tcPr>
            <w:tcW w:w="3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hanging="264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泉鲤城管规〔2024〕3号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泉州市鲤城区城市管理局关于印发包容审慎监管执法</w:t>
            </w: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四张清单</w:t>
            </w: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的通知</w:t>
            </w:r>
          </w:p>
        </w:tc>
        <w:tc>
          <w:tcPr>
            <w:tcW w:w="3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hanging="264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泉鲤城管规〔2024〕4号</w:t>
            </w:r>
          </w:p>
        </w:tc>
      </w:tr>
    </w:tbl>
    <w:p>
      <w:pPr>
        <w:numPr>
          <w:ilvl w:val="0"/>
          <w:numId w:val="0"/>
        </w:numPr>
        <w:spacing w:line="500" w:lineRule="exact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eastAsia="方正小标宋简体" w:cs="Times New Roman"/>
          <w:spacing w:val="-2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pacing w:val="-20"/>
          <w:sz w:val="44"/>
          <w:szCs w:val="44"/>
          <w:lang w:val="en-US" w:eastAsia="zh-CN"/>
        </w:rPr>
        <w:t xml:space="preserve">  宣布失效（废止）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的行政规范性文件目录</w:t>
      </w:r>
      <w:r>
        <w:rPr>
          <w:rFonts w:hint="eastAsia" w:eastAsia="方正小标宋简体" w:cs="Times New Roman"/>
          <w:spacing w:val="-20"/>
          <w:sz w:val="44"/>
          <w:szCs w:val="44"/>
          <w:lang w:val="en-US" w:eastAsia="zh-CN"/>
        </w:rPr>
        <w:t>（3件）</w:t>
      </w:r>
    </w:p>
    <w:tbl>
      <w:tblPr>
        <w:tblStyle w:val="6"/>
        <w:tblpPr w:leftFromText="180" w:rightFromText="180" w:vertAnchor="text" w:horzAnchor="page" w:tblpX="1477" w:tblpY="358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131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31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规范性文件名称</w:t>
            </w:r>
          </w:p>
        </w:tc>
        <w:tc>
          <w:tcPr>
            <w:tcW w:w="3239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105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31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方正仿宋简体"/>
                <w:spacing w:val="10"/>
                <w:sz w:val="32"/>
                <w:szCs w:val="32"/>
                <w:lang w:val="en-US" w:eastAsia="zh-CN"/>
              </w:rPr>
              <w:t>泉州市鲤城区城市管理局关于印发《鲤城区</w:t>
            </w:r>
            <w:r>
              <w:rPr>
                <w:rFonts w:hint="eastAsia" w:eastAsia="方正仿宋简体" w:cs="方正仿宋简体"/>
                <w:spacing w:val="10"/>
                <w:sz w:val="32"/>
                <w:szCs w:val="32"/>
                <w:lang w:eastAsia="zh-CN"/>
              </w:rPr>
              <w:t>城市管理行政处罚裁量细化标准（试行）》的通知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泉鲤城管〔202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泉州市鲤城区城市管理局关于印发《不予行政处罚、从轻或减轻行政处罚事项的清单（市容和环境卫生管理方面）》的通知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泉鲤城管〔202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〕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val="en-US" w:eastAsia="zh-CN"/>
              </w:rPr>
              <w:t>101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泉州市鲤城区城市管理局关于公布2023年度行政规范性文件清理结果的通知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28"/>
                <w:kern w:val="0"/>
                <w:sz w:val="32"/>
                <w:szCs w:val="32"/>
                <w:lang w:eastAsia="zh-CN"/>
              </w:rPr>
              <w:t>泉鲤城管规〔2024〕1号</w:t>
            </w:r>
          </w:p>
        </w:tc>
      </w:tr>
    </w:tbl>
    <w:p>
      <w:pPr>
        <w:tabs>
          <w:tab w:val="left" w:pos="745"/>
        </w:tabs>
        <w:spacing w:line="500" w:lineRule="exact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ascii="Times New Roman" w:hAnsi="Times New Roman" w:eastAsia="方正仿宋简体" w:cs="方正仿宋简体"/>
          <w:spacing w:val="10"/>
          <w:sz w:val="28"/>
          <w:szCs w:val="28"/>
        </w:rPr>
      </w:pPr>
    </w:p>
    <w:p>
      <w:pPr>
        <w:pStyle w:val="2"/>
        <w:rPr>
          <w:rFonts w:ascii="Times New Roman" w:hAnsi="Times New Roman" w:eastAsia="方正仿宋简体" w:cs="方正仿宋简体"/>
          <w:spacing w:val="10"/>
          <w:sz w:val="28"/>
          <w:szCs w:val="28"/>
        </w:rPr>
      </w:pPr>
    </w:p>
    <w:p>
      <w:pPr>
        <w:pStyle w:val="2"/>
        <w:rPr>
          <w:rFonts w:ascii="Times New Roman" w:hAnsi="Times New Roman" w:eastAsia="方正仿宋简体" w:cs="方正仿宋简体"/>
          <w:spacing w:val="10"/>
          <w:sz w:val="28"/>
          <w:szCs w:val="28"/>
        </w:rPr>
      </w:pPr>
    </w:p>
    <w:p>
      <w:pPr>
        <w:pStyle w:val="2"/>
        <w:rPr>
          <w:rFonts w:ascii="Times New Roman" w:hAnsi="Times New Roman" w:eastAsia="方正仿宋简体" w:cs="方正仿宋简体"/>
          <w:spacing w:val="10"/>
          <w:sz w:val="28"/>
          <w:szCs w:val="28"/>
        </w:rPr>
      </w:pPr>
    </w:p>
    <w:p>
      <w:pPr>
        <w:pStyle w:val="2"/>
        <w:rPr>
          <w:rFonts w:ascii="Times New Roman" w:hAnsi="Times New Roman" w:eastAsia="方正仿宋简体" w:cs="方正仿宋简体"/>
          <w:spacing w:val="10"/>
          <w:sz w:val="28"/>
          <w:szCs w:val="28"/>
        </w:rPr>
      </w:pPr>
    </w:p>
    <w:p>
      <w:pPr>
        <w:pStyle w:val="2"/>
        <w:rPr>
          <w:rFonts w:ascii="Times New Roman" w:hAnsi="Times New Roman" w:eastAsia="方正仿宋简体" w:cs="方正仿宋简体"/>
          <w:spacing w:val="10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简体" w:cs="方正仿宋简体"/>
          <w:spacing w:val="10"/>
          <w:sz w:val="28"/>
          <w:szCs w:val="28"/>
          <w:lang w:val="en-US" w:eastAsia="zh-CN"/>
        </w:rPr>
      </w:pPr>
      <w:r>
        <w:rPr>
          <w:rFonts w:hint="eastAsia" w:eastAsia="方正仿宋简体" w:cs="方正仿宋简体"/>
          <w:spacing w:val="10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</w:t>
      </w:r>
    </w:p>
    <w:tbl>
      <w:tblPr>
        <w:tblStyle w:val="5"/>
        <w:tblpPr w:leftFromText="180" w:rightFromText="180" w:vertAnchor="text" w:horzAnchor="page" w:tblpX="1487" w:tblpY="409"/>
        <w:tblOverlap w:val="never"/>
        <w:tblW w:w="892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4" w:type="dxa"/>
          </w:tcPr>
          <w:p>
            <w:pPr>
              <w:spacing w:line="560" w:lineRule="exact"/>
              <w:ind w:firstLine="240" w:firstLineChars="100"/>
              <w:rPr>
                <w:rFonts w:hint="default" w:ascii="Times New Roman" w:hAnsi="Times New Roman" w:eastAsia="方正仿宋简体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1C2D2B"/>
                <w:spacing w:val="-20"/>
                <w:kern w:val="0"/>
                <w:sz w:val="28"/>
                <w:szCs w:val="28"/>
                <w:lang w:val="zh-CN"/>
              </w:rPr>
              <w:t>泉州市鲤城区城市管理和综合执法局</w:t>
            </w:r>
            <w:r>
              <w:rPr>
                <w:rFonts w:hint="eastAsia" w:ascii="方正仿宋简体" w:hAnsi="方正仿宋简体" w:eastAsia="方正仿宋简体" w:cs="方正仿宋简体"/>
                <w:color w:val="1C2D2B"/>
                <w:spacing w:val="-2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color w:val="1C2D2B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eastAsia="方正仿宋简体" w:cs="方正仿宋简体"/>
                <w:color w:val="1C2D2B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方正仿宋简体"/>
                <w:color w:val="1C2D2B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8"/>
                <w:szCs w:val="28"/>
                <w:lang w:val="zh-CN" w:eastAsia="zh-CN" w:bidi="ar-SA"/>
              </w:rPr>
              <w:t>202</w:t>
            </w:r>
            <w:r>
              <w:rPr>
                <w:rFonts w:hint="eastAsia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8"/>
                <w:szCs w:val="28"/>
                <w:lang w:val="zh-CN" w:eastAsia="zh-CN" w:bidi="ar-SA"/>
              </w:rPr>
              <w:t>年</w:t>
            </w:r>
            <w:r>
              <w:rPr>
                <w:rFonts w:hint="eastAsia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8"/>
                <w:szCs w:val="28"/>
                <w:lang w:val="zh-CN" w:eastAsia="zh-CN" w:bidi="ar-SA"/>
              </w:rPr>
              <w:t>月</w:t>
            </w:r>
            <w:r>
              <w:rPr>
                <w:rFonts w:hint="eastAsia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8"/>
                <w:szCs w:val="28"/>
                <w:lang w:val="zh-CN" w:eastAsia="zh-CN" w:bidi="ar-SA"/>
              </w:rPr>
              <w:t>日印发</w:t>
            </w:r>
            <w:r>
              <w:rPr>
                <w:rFonts w:hint="eastAsia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</w:p>
        </w:tc>
      </w:tr>
    </w:tbl>
    <w:p>
      <w:pPr>
        <w:pStyle w:val="2"/>
        <w:rPr>
          <w:rFonts w:ascii="Times New Roman" w:hAnsi="Times New Roman" w:eastAsia="方正仿宋简体" w:cs="方正仿宋简体"/>
          <w:spacing w:val="10"/>
          <w:sz w:val="28"/>
          <w:szCs w:val="28"/>
        </w:rPr>
      </w:pP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701" w:right="1531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844550" cy="1828800"/>
              <wp:effectExtent l="0" t="0" r="0" b="0"/>
              <wp:wrapNone/>
              <wp:docPr id="1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6.75pt;height:144pt;width:66.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JKH46bTAAAABwEA&#10;AA8AAAAAAAAAAQAgAAAAOAAAAGRycy9kb3ducmV2LnhtbFBLAQIUABQAAAAIAIdO4kAMbK0l0AEA&#10;AJsDAAAOAAAAAAAAAAEAIAAAADg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180975</wp:posOffset>
              </wp:positionH>
              <wp:positionV relativeFrom="paragraph">
                <wp:posOffset>57150</wp:posOffset>
              </wp:positionV>
              <wp:extent cx="821055" cy="2368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0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.25pt;margin-top:4.5pt;height:18.65pt;width:64.65pt;mso-position-horizontal-relative:margin;z-index:251660288;mso-width-relative:page;mso-height-relative:page;" filled="f" stroked="f" coordsize="21600,21600" o:gfxdata="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CoomnD1gAAAAcBAAAPAAAAAAAA&#10;AAEAIAAAADgAAABkcnMvZG93bnJldi54bWxQSwECFAAUAAAACACHTuJAN4GE7TcCAABh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9C384"/>
    <w:multiLevelType w:val="singleLevel"/>
    <w:tmpl w:val="8039C384"/>
    <w:lvl w:ilvl="0" w:tentative="0">
      <w:start w:val="1"/>
      <w:numFmt w:val="chineseCounting"/>
      <w:suff w:val="nothing"/>
      <w:lvlText w:val="%1、"/>
      <w:lvlJc w:val="left"/>
      <w:pPr>
        <w:ind w:left="-2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GE4NzA1MjNhYjIyZThiOGQwNzBkNTdmNmRlNDAifQ=="/>
    <w:docVar w:name="KSO_WPS_MARK_KEY" w:val="e0d1afde-42d0-42f5-9616-089ac59634d7"/>
  </w:docVars>
  <w:rsids>
    <w:rsidRoot w:val="003C6AE2"/>
    <w:rsid w:val="0001325F"/>
    <w:rsid w:val="00070089"/>
    <w:rsid w:val="0007131B"/>
    <w:rsid w:val="000F73AE"/>
    <w:rsid w:val="00113D01"/>
    <w:rsid w:val="001674DB"/>
    <w:rsid w:val="001711D0"/>
    <w:rsid w:val="001B1F88"/>
    <w:rsid w:val="001B5C64"/>
    <w:rsid w:val="001C5332"/>
    <w:rsid w:val="001D64F6"/>
    <w:rsid w:val="001E676F"/>
    <w:rsid w:val="002276E9"/>
    <w:rsid w:val="002A1988"/>
    <w:rsid w:val="003109FA"/>
    <w:rsid w:val="00355D26"/>
    <w:rsid w:val="00362598"/>
    <w:rsid w:val="00364D3A"/>
    <w:rsid w:val="003C6AE2"/>
    <w:rsid w:val="003D6411"/>
    <w:rsid w:val="00456377"/>
    <w:rsid w:val="0046119C"/>
    <w:rsid w:val="004812C2"/>
    <w:rsid w:val="004B3F48"/>
    <w:rsid w:val="00547AAC"/>
    <w:rsid w:val="00560994"/>
    <w:rsid w:val="00591C40"/>
    <w:rsid w:val="005D68A3"/>
    <w:rsid w:val="005D7AC4"/>
    <w:rsid w:val="006534EE"/>
    <w:rsid w:val="006625EC"/>
    <w:rsid w:val="006B78D6"/>
    <w:rsid w:val="006D47A1"/>
    <w:rsid w:val="006E6904"/>
    <w:rsid w:val="00705B9C"/>
    <w:rsid w:val="00765218"/>
    <w:rsid w:val="0078155B"/>
    <w:rsid w:val="007D2553"/>
    <w:rsid w:val="007E2EF6"/>
    <w:rsid w:val="007F1769"/>
    <w:rsid w:val="00802276"/>
    <w:rsid w:val="00821518"/>
    <w:rsid w:val="00832D6E"/>
    <w:rsid w:val="008466F6"/>
    <w:rsid w:val="00851EE2"/>
    <w:rsid w:val="00886E5D"/>
    <w:rsid w:val="00897AF6"/>
    <w:rsid w:val="008B1C48"/>
    <w:rsid w:val="008E0116"/>
    <w:rsid w:val="00901E28"/>
    <w:rsid w:val="00907A2F"/>
    <w:rsid w:val="009A54F6"/>
    <w:rsid w:val="00A42F51"/>
    <w:rsid w:val="00A76BAE"/>
    <w:rsid w:val="00A86F49"/>
    <w:rsid w:val="00AB20F7"/>
    <w:rsid w:val="00AB6BF8"/>
    <w:rsid w:val="00AC1FA2"/>
    <w:rsid w:val="00AF4DC6"/>
    <w:rsid w:val="00B01388"/>
    <w:rsid w:val="00B60094"/>
    <w:rsid w:val="00B62ED8"/>
    <w:rsid w:val="00B63F56"/>
    <w:rsid w:val="00B70240"/>
    <w:rsid w:val="00B71B57"/>
    <w:rsid w:val="00B8136B"/>
    <w:rsid w:val="00B82DAA"/>
    <w:rsid w:val="00B96E20"/>
    <w:rsid w:val="00BB6F72"/>
    <w:rsid w:val="00BB7584"/>
    <w:rsid w:val="00BD3281"/>
    <w:rsid w:val="00C72E41"/>
    <w:rsid w:val="00C83A4B"/>
    <w:rsid w:val="00CA0F97"/>
    <w:rsid w:val="00CC49F2"/>
    <w:rsid w:val="00CF7669"/>
    <w:rsid w:val="00D130AB"/>
    <w:rsid w:val="00D41AE5"/>
    <w:rsid w:val="00D70CCE"/>
    <w:rsid w:val="00D76578"/>
    <w:rsid w:val="00D8588D"/>
    <w:rsid w:val="00D97A23"/>
    <w:rsid w:val="00E07A51"/>
    <w:rsid w:val="00E1031F"/>
    <w:rsid w:val="00E14B92"/>
    <w:rsid w:val="00E35D89"/>
    <w:rsid w:val="00E5362E"/>
    <w:rsid w:val="00E70715"/>
    <w:rsid w:val="00E8440E"/>
    <w:rsid w:val="00F24129"/>
    <w:rsid w:val="00F32398"/>
    <w:rsid w:val="00F640CB"/>
    <w:rsid w:val="00F811B7"/>
    <w:rsid w:val="00FE623B"/>
    <w:rsid w:val="02251150"/>
    <w:rsid w:val="02357A79"/>
    <w:rsid w:val="02F41532"/>
    <w:rsid w:val="039D18E6"/>
    <w:rsid w:val="03DD1CE2"/>
    <w:rsid w:val="047F3900"/>
    <w:rsid w:val="04E84DE3"/>
    <w:rsid w:val="04EA6162"/>
    <w:rsid w:val="05D215EF"/>
    <w:rsid w:val="062E4A77"/>
    <w:rsid w:val="06563FCE"/>
    <w:rsid w:val="07D433FC"/>
    <w:rsid w:val="08114650"/>
    <w:rsid w:val="087D5842"/>
    <w:rsid w:val="098D5F59"/>
    <w:rsid w:val="09CB4B3C"/>
    <w:rsid w:val="09F92491"/>
    <w:rsid w:val="0B907F82"/>
    <w:rsid w:val="0BA25F56"/>
    <w:rsid w:val="0C177D5B"/>
    <w:rsid w:val="0CF663AE"/>
    <w:rsid w:val="0D1150F2"/>
    <w:rsid w:val="0D907DC5"/>
    <w:rsid w:val="0E060087"/>
    <w:rsid w:val="0E4B0D79"/>
    <w:rsid w:val="0E4C22F2"/>
    <w:rsid w:val="104A6951"/>
    <w:rsid w:val="10771710"/>
    <w:rsid w:val="114E18C3"/>
    <w:rsid w:val="1332191F"/>
    <w:rsid w:val="13C54541"/>
    <w:rsid w:val="142179C9"/>
    <w:rsid w:val="142C636E"/>
    <w:rsid w:val="14E84592"/>
    <w:rsid w:val="15B605E5"/>
    <w:rsid w:val="16EA7C4C"/>
    <w:rsid w:val="185D2F9A"/>
    <w:rsid w:val="18F04D3F"/>
    <w:rsid w:val="1AF5284A"/>
    <w:rsid w:val="1B75684C"/>
    <w:rsid w:val="1F2E743E"/>
    <w:rsid w:val="202C6073"/>
    <w:rsid w:val="22943A5C"/>
    <w:rsid w:val="22ED49C0"/>
    <w:rsid w:val="23465188"/>
    <w:rsid w:val="239857CE"/>
    <w:rsid w:val="244D0366"/>
    <w:rsid w:val="245168ED"/>
    <w:rsid w:val="24D102F6"/>
    <w:rsid w:val="24D665AE"/>
    <w:rsid w:val="25B032A3"/>
    <w:rsid w:val="26265313"/>
    <w:rsid w:val="26BC17D3"/>
    <w:rsid w:val="27AA5AD0"/>
    <w:rsid w:val="27C052F3"/>
    <w:rsid w:val="29C966E1"/>
    <w:rsid w:val="2B715282"/>
    <w:rsid w:val="2B785798"/>
    <w:rsid w:val="2C092CED"/>
    <w:rsid w:val="2D7921CC"/>
    <w:rsid w:val="2EA27501"/>
    <w:rsid w:val="2FC54BD5"/>
    <w:rsid w:val="30B33C47"/>
    <w:rsid w:val="31376626"/>
    <w:rsid w:val="31554CFE"/>
    <w:rsid w:val="31994BEB"/>
    <w:rsid w:val="326641B0"/>
    <w:rsid w:val="32987598"/>
    <w:rsid w:val="32D3237F"/>
    <w:rsid w:val="33E02FA5"/>
    <w:rsid w:val="34607C42"/>
    <w:rsid w:val="34BD5094"/>
    <w:rsid w:val="352E1AEE"/>
    <w:rsid w:val="353D56A6"/>
    <w:rsid w:val="357E2A76"/>
    <w:rsid w:val="35B244CD"/>
    <w:rsid w:val="362F0E3F"/>
    <w:rsid w:val="369E4A52"/>
    <w:rsid w:val="370F76FD"/>
    <w:rsid w:val="378C0D4E"/>
    <w:rsid w:val="379F42FD"/>
    <w:rsid w:val="37ED0A42"/>
    <w:rsid w:val="3A1E6032"/>
    <w:rsid w:val="3B0D21A6"/>
    <w:rsid w:val="3B7D557D"/>
    <w:rsid w:val="3B884CBB"/>
    <w:rsid w:val="3DF7689C"/>
    <w:rsid w:val="3EB017C6"/>
    <w:rsid w:val="3EF27629"/>
    <w:rsid w:val="3F9222E7"/>
    <w:rsid w:val="3FB53538"/>
    <w:rsid w:val="3FE0432D"/>
    <w:rsid w:val="40844CB8"/>
    <w:rsid w:val="40D013A0"/>
    <w:rsid w:val="42470693"/>
    <w:rsid w:val="43565D8F"/>
    <w:rsid w:val="43C53F65"/>
    <w:rsid w:val="44D51D3F"/>
    <w:rsid w:val="44E65F41"/>
    <w:rsid w:val="45BC6CA2"/>
    <w:rsid w:val="47E95CD7"/>
    <w:rsid w:val="48A028AB"/>
    <w:rsid w:val="48AC2FFE"/>
    <w:rsid w:val="49204FC6"/>
    <w:rsid w:val="4A440341"/>
    <w:rsid w:val="4A9B157C"/>
    <w:rsid w:val="4B586580"/>
    <w:rsid w:val="4C8C0A39"/>
    <w:rsid w:val="4C96021E"/>
    <w:rsid w:val="4CB330E9"/>
    <w:rsid w:val="4CD01356"/>
    <w:rsid w:val="4D551EB6"/>
    <w:rsid w:val="4E217FEA"/>
    <w:rsid w:val="4E881E17"/>
    <w:rsid w:val="503D591C"/>
    <w:rsid w:val="50AB55A3"/>
    <w:rsid w:val="519B6306"/>
    <w:rsid w:val="52C4165C"/>
    <w:rsid w:val="52D25D57"/>
    <w:rsid w:val="55052414"/>
    <w:rsid w:val="55CF47D0"/>
    <w:rsid w:val="562F2A20"/>
    <w:rsid w:val="5630534C"/>
    <w:rsid w:val="57AA2DFF"/>
    <w:rsid w:val="5A7DEE3D"/>
    <w:rsid w:val="5AAC2611"/>
    <w:rsid w:val="5C1D63F8"/>
    <w:rsid w:val="5CA1579F"/>
    <w:rsid w:val="5D0B2591"/>
    <w:rsid w:val="5D801B4F"/>
    <w:rsid w:val="5E9D190F"/>
    <w:rsid w:val="5ECF3B18"/>
    <w:rsid w:val="5EF3418A"/>
    <w:rsid w:val="5F5B91B5"/>
    <w:rsid w:val="5FC37153"/>
    <w:rsid w:val="600532C8"/>
    <w:rsid w:val="6015421E"/>
    <w:rsid w:val="610C0686"/>
    <w:rsid w:val="6204776D"/>
    <w:rsid w:val="62966DA1"/>
    <w:rsid w:val="62970423"/>
    <w:rsid w:val="62D00FE0"/>
    <w:rsid w:val="6347265C"/>
    <w:rsid w:val="636649C5"/>
    <w:rsid w:val="636FA213"/>
    <w:rsid w:val="64B21544"/>
    <w:rsid w:val="64DF3ED3"/>
    <w:rsid w:val="6518584B"/>
    <w:rsid w:val="680E2F36"/>
    <w:rsid w:val="68106CAE"/>
    <w:rsid w:val="68D26659"/>
    <w:rsid w:val="69644FEA"/>
    <w:rsid w:val="69743FCA"/>
    <w:rsid w:val="69790883"/>
    <w:rsid w:val="6A2558F4"/>
    <w:rsid w:val="6BA936A1"/>
    <w:rsid w:val="6CE93F71"/>
    <w:rsid w:val="6D307D54"/>
    <w:rsid w:val="6D6B05D4"/>
    <w:rsid w:val="6F3C65DA"/>
    <w:rsid w:val="6F873B88"/>
    <w:rsid w:val="6FFDBF57"/>
    <w:rsid w:val="70025FA8"/>
    <w:rsid w:val="71125845"/>
    <w:rsid w:val="71864485"/>
    <w:rsid w:val="7243274A"/>
    <w:rsid w:val="72FC5CD3"/>
    <w:rsid w:val="748C1DB2"/>
    <w:rsid w:val="75605CBE"/>
    <w:rsid w:val="76821547"/>
    <w:rsid w:val="76D1152D"/>
    <w:rsid w:val="776668EA"/>
    <w:rsid w:val="77A64F39"/>
    <w:rsid w:val="781C344D"/>
    <w:rsid w:val="7AA65250"/>
    <w:rsid w:val="7B9FC0C1"/>
    <w:rsid w:val="7BF87D2D"/>
    <w:rsid w:val="7E1D557F"/>
    <w:rsid w:val="7E486D4A"/>
    <w:rsid w:val="7E617E0B"/>
    <w:rsid w:val="7FEE9238"/>
    <w:rsid w:val="9D7E4234"/>
    <w:rsid w:val="9F3F81E1"/>
    <w:rsid w:val="B3FCB07D"/>
    <w:rsid w:val="BEFD8364"/>
    <w:rsid w:val="DDEB668D"/>
    <w:rsid w:val="DF6DD5BF"/>
    <w:rsid w:val="E7BF8AC8"/>
    <w:rsid w:val="FCED4ACA"/>
    <w:rsid w:val="FF77C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 Char Char Char"/>
    <w:basedOn w:val="1"/>
    <w:qFormat/>
    <w:uiPriority w:val="99"/>
    <w:pPr>
      <w:spacing w:before="120" w:after="120" w:line="360" w:lineRule="auto"/>
    </w:pPr>
  </w:style>
  <w:style w:type="paragraph" w:customStyle="1" w:styleId="12">
    <w:name w:val="BodyText1I2"/>
    <w:basedOn w:val="1"/>
    <w:qFormat/>
    <w:uiPriority w:val="99"/>
    <w:pPr>
      <w:widowControl/>
      <w:spacing w:after="120"/>
      <w:ind w:firstLine="40"/>
      <w:textAlignment w:val="baseline"/>
    </w:pPr>
    <w:rPr>
      <w:rFonts w:ascii="仿宋_GB2312" w:hAnsi="仿宋_GB2312" w:eastAsia="仿宋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252</Words>
  <Characters>266</Characters>
  <Lines>10</Lines>
  <Paragraphs>3</Paragraphs>
  <TotalTime>3</TotalTime>
  <ScaleCrop>false</ScaleCrop>
  <LinksUpToDate>false</LinksUpToDate>
  <CharactersWithSpaces>296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2022-10-14T01:37:00Z</dcterms:created>
  <dc:creator>Administrator</dc:creator>
  <cp:lastModifiedBy>user</cp:lastModifiedBy>
  <cp:lastPrinted>2025-01-10T09:10:00Z</cp:lastPrinted>
  <dcterms:modified xsi:type="dcterms:W3CDTF">2025-01-15T10:35:53Z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A43EF63CCFE1493587A3B46D50C59F95</vt:lpwstr>
  </property>
</Properties>
</file>