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3E" w:rsidRDefault="00214A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810E3E" w:rsidRDefault="00373300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鲤城区</w:t>
      </w:r>
      <w:r w:rsidR="00214AD4">
        <w:rPr>
          <w:rFonts w:ascii="华文中宋" w:eastAsia="华文中宋" w:hAnsi="华文中宋" w:cs="华文中宋" w:hint="eastAsia"/>
          <w:sz w:val="36"/>
          <w:szCs w:val="36"/>
        </w:rPr>
        <w:t>辖区内从事建设工程消防设施检测的技术服务机构基本情况明细表</w:t>
      </w:r>
    </w:p>
    <w:p w:rsidR="00810E3E" w:rsidRDefault="00214AD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填报单位：（盖章）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24"/>
        </w:rPr>
        <w:t>填报时间：</w:t>
      </w:r>
    </w:p>
    <w:tbl>
      <w:tblPr>
        <w:tblStyle w:val="a3"/>
        <w:tblpPr w:leftFromText="180" w:rightFromText="180" w:vertAnchor="page" w:horzAnchor="page" w:tblpX="1497" w:tblpY="3522"/>
        <w:tblOverlap w:val="never"/>
        <w:tblW w:w="0" w:type="auto"/>
        <w:tblLayout w:type="fixed"/>
        <w:tblLook w:val="04A0"/>
      </w:tblPr>
      <w:tblGrid>
        <w:gridCol w:w="383"/>
        <w:gridCol w:w="745"/>
        <w:gridCol w:w="692"/>
        <w:gridCol w:w="663"/>
        <w:gridCol w:w="587"/>
        <w:gridCol w:w="700"/>
        <w:gridCol w:w="888"/>
        <w:gridCol w:w="812"/>
        <w:gridCol w:w="963"/>
        <w:gridCol w:w="987"/>
        <w:gridCol w:w="1013"/>
        <w:gridCol w:w="765"/>
        <w:gridCol w:w="750"/>
        <w:gridCol w:w="883"/>
        <w:gridCol w:w="1167"/>
        <w:gridCol w:w="866"/>
        <w:gridCol w:w="750"/>
      </w:tblGrid>
      <w:tr w:rsidR="00810E3E">
        <w:trPr>
          <w:trHeight w:val="781"/>
        </w:trPr>
        <w:tc>
          <w:tcPr>
            <w:tcW w:w="383" w:type="dxa"/>
            <w:vMerge w:val="restart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5087" w:type="dxa"/>
            <w:gridSpan w:val="7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营业执照登记信息</w:t>
            </w:r>
          </w:p>
        </w:tc>
        <w:tc>
          <w:tcPr>
            <w:tcW w:w="5361" w:type="dxa"/>
            <w:gridSpan w:val="6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企业相关信息</w:t>
            </w:r>
          </w:p>
        </w:tc>
        <w:tc>
          <w:tcPr>
            <w:tcW w:w="1167" w:type="dxa"/>
            <w:vMerge w:val="restart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通讯地址（实际办公地址）</w:t>
            </w:r>
          </w:p>
        </w:tc>
        <w:tc>
          <w:tcPr>
            <w:tcW w:w="866" w:type="dxa"/>
            <w:vMerge w:val="restart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</w:t>
            </w:r>
          </w:p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750" w:type="dxa"/>
            <w:vMerge w:val="restart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810E3E">
        <w:trPr>
          <w:trHeight w:val="1413"/>
        </w:trPr>
        <w:tc>
          <w:tcPr>
            <w:tcW w:w="383" w:type="dxa"/>
            <w:vMerge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</w:t>
            </w:r>
          </w:p>
        </w:tc>
        <w:tc>
          <w:tcPr>
            <w:tcW w:w="692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登记</w:t>
            </w:r>
          </w:p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</w:t>
            </w:r>
          </w:p>
        </w:tc>
        <w:tc>
          <w:tcPr>
            <w:tcW w:w="663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登记日期</w:t>
            </w:r>
          </w:p>
        </w:tc>
        <w:tc>
          <w:tcPr>
            <w:tcW w:w="587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营业期限</w:t>
            </w:r>
          </w:p>
        </w:tc>
        <w:tc>
          <w:tcPr>
            <w:tcW w:w="700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</w:t>
            </w:r>
          </w:p>
        </w:tc>
        <w:tc>
          <w:tcPr>
            <w:tcW w:w="888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企业法人姓名</w:t>
            </w:r>
          </w:p>
        </w:tc>
        <w:tc>
          <w:tcPr>
            <w:tcW w:w="812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经营</w:t>
            </w:r>
          </w:p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范围</w:t>
            </w:r>
          </w:p>
        </w:tc>
        <w:tc>
          <w:tcPr>
            <w:tcW w:w="963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注册消防工程师</w:t>
            </w:r>
          </w:p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（人数）</w:t>
            </w:r>
          </w:p>
        </w:tc>
        <w:tc>
          <w:tcPr>
            <w:tcW w:w="987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消防施工操作员</w:t>
            </w:r>
          </w:p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（人数）</w:t>
            </w:r>
          </w:p>
        </w:tc>
        <w:tc>
          <w:tcPr>
            <w:tcW w:w="1013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主要业绩</w:t>
            </w:r>
          </w:p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年以来</w:t>
            </w:r>
            <w:r>
              <w:rPr>
                <w:rFonts w:hint="eastAsia"/>
                <w:sz w:val="18"/>
                <w:szCs w:val="18"/>
              </w:rPr>
              <w:t>）项目名称</w:t>
            </w:r>
          </w:p>
        </w:tc>
        <w:tc>
          <w:tcPr>
            <w:tcW w:w="765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违</w:t>
            </w:r>
            <w:r>
              <w:rPr>
                <w:rFonts w:hint="eastAsia"/>
                <w:sz w:val="18"/>
                <w:szCs w:val="18"/>
              </w:rPr>
              <w:t>法执业信息</w:t>
            </w:r>
          </w:p>
        </w:tc>
        <w:tc>
          <w:tcPr>
            <w:tcW w:w="750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</w:t>
            </w:r>
          </w:p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邮箱</w:t>
            </w:r>
          </w:p>
        </w:tc>
        <w:tc>
          <w:tcPr>
            <w:tcW w:w="883" w:type="dxa"/>
            <w:vAlign w:val="center"/>
          </w:tcPr>
          <w:p w:rsidR="00810E3E" w:rsidRDefault="00214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人员参加社保情况（人数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67" w:type="dxa"/>
            <w:vMerge/>
            <w:vAlign w:val="center"/>
          </w:tcPr>
          <w:p w:rsidR="00810E3E" w:rsidRDefault="00810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810E3E" w:rsidRDefault="00810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810E3E" w:rsidRDefault="00810E3E">
            <w:pPr>
              <w:jc w:val="center"/>
              <w:rPr>
                <w:sz w:val="18"/>
                <w:szCs w:val="18"/>
              </w:rPr>
            </w:pPr>
          </w:p>
        </w:tc>
      </w:tr>
      <w:tr w:rsidR="00810E3E">
        <w:trPr>
          <w:trHeight w:val="312"/>
        </w:trPr>
        <w:tc>
          <w:tcPr>
            <w:tcW w:w="38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</w:tr>
      <w:tr w:rsidR="00810E3E">
        <w:trPr>
          <w:trHeight w:val="312"/>
        </w:trPr>
        <w:tc>
          <w:tcPr>
            <w:tcW w:w="38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</w:tr>
      <w:tr w:rsidR="00810E3E">
        <w:trPr>
          <w:trHeight w:val="312"/>
        </w:trPr>
        <w:tc>
          <w:tcPr>
            <w:tcW w:w="38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</w:tr>
      <w:tr w:rsidR="00810E3E">
        <w:trPr>
          <w:trHeight w:val="312"/>
        </w:trPr>
        <w:tc>
          <w:tcPr>
            <w:tcW w:w="38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</w:tr>
      <w:tr w:rsidR="00810E3E">
        <w:trPr>
          <w:trHeight w:val="312"/>
        </w:trPr>
        <w:tc>
          <w:tcPr>
            <w:tcW w:w="38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10E3E" w:rsidRDefault="00810E3E">
            <w:pPr>
              <w:rPr>
                <w:sz w:val="18"/>
                <w:szCs w:val="18"/>
              </w:rPr>
            </w:pPr>
          </w:p>
        </w:tc>
      </w:tr>
    </w:tbl>
    <w:p w:rsidR="00810E3E" w:rsidRDefault="00810E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810E3E" w:rsidSect="00810E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D4" w:rsidRDefault="00214AD4" w:rsidP="00373300">
      <w:pPr>
        <w:ind w:left="420"/>
      </w:pPr>
      <w:r>
        <w:separator/>
      </w:r>
    </w:p>
  </w:endnote>
  <w:endnote w:type="continuationSeparator" w:id="1">
    <w:p w:rsidR="00214AD4" w:rsidRDefault="00214AD4" w:rsidP="00373300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D4" w:rsidRDefault="00214AD4" w:rsidP="00373300">
      <w:pPr>
        <w:ind w:left="420"/>
      </w:pPr>
      <w:r>
        <w:separator/>
      </w:r>
    </w:p>
  </w:footnote>
  <w:footnote w:type="continuationSeparator" w:id="1">
    <w:p w:rsidR="00214AD4" w:rsidRDefault="00214AD4" w:rsidP="00373300">
      <w:pPr>
        <w:ind w:left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B7D50F51"/>
    <w:rsid w:val="B7D50F51"/>
    <w:rsid w:val="00214AD4"/>
    <w:rsid w:val="00373300"/>
    <w:rsid w:val="00810E3E"/>
    <w:rsid w:val="3FEB8F97"/>
    <w:rsid w:val="7EF7A5D1"/>
    <w:rsid w:val="7FB016B7"/>
    <w:rsid w:val="B7D50F51"/>
    <w:rsid w:val="BEF662E2"/>
    <w:rsid w:val="BF28A517"/>
    <w:rsid w:val="FDEF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10E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73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3300"/>
    <w:rPr>
      <w:kern w:val="2"/>
      <w:sz w:val="18"/>
      <w:szCs w:val="18"/>
    </w:rPr>
  </w:style>
  <w:style w:type="paragraph" w:styleId="a5">
    <w:name w:val="footer"/>
    <w:basedOn w:val="a"/>
    <w:link w:val="Char0"/>
    <w:rsid w:val="00373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33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廖惠阳</dc:creator>
  <cp:lastModifiedBy>Administrator</cp:lastModifiedBy>
  <cp:revision>2</cp:revision>
  <cp:lastPrinted>2021-11-29T23:42:00Z</cp:lastPrinted>
  <dcterms:created xsi:type="dcterms:W3CDTF">2021-11-29T18:59:00Z</dcterms:created>
  <dcterms:modified xsi:type="dcterms:W3CDTF">2021-12-09T02:15:00Z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