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方正黑体简体" w:hAnsi="方正黑体简体" w:eastAsia="方正黑体简体" w:cs="方正黑体简体"/>
          <w:kern w:val="28"/>
          <w:sz w:val="32"/>
          <w:szCs w:val="32"/>
        </w:rPr>
      </w:pPr>
      <w:bookmarkStart w:id="0" w:name="_Toc30669"/>
      <w:r>
        <w:rPr>
          <w:rFonts w:hint="eastAsia" w:ascii="方正黑体简体" w:hAnsi="方正黑体简体" w:eastAsia="方正黑体简体" w:cs="方正黑体简体"/>
          <w:kern w:val="28"/>
          <w:sz w:val="32"/>
          <w:szCs w:val="32"/>
        </w:rPr>
        <w:t>附件1</w:t>
      </w:r>
    </w:p>
    <w:p>
      <w:pPr>
        <w:pStyle w:val="2"/>
        <w:rPr>
          <w:rFonts w:hint="eastAsia" w:ascii="仿宋" w:eastAsia="仿宋" w:cs="仿宋"/>
          <w:kern w:val="28"/>
          <w:sz w:val="32"/>
          <w:szCs w:val="32"/>
        </w:rPr>
      </w:pPr>
    </w:p>
    <w:p>
      <w:pPr>
        <w:pStyle w:val="2"/>
        <w:rPr>
          <w:rFonts w:hint="eastAsia" w:ascii="仿宋" w:eastAsia="仿宋" w:cs="仿宋"/>
          <w:kern w:val="28"/>
          <w:sz w:val="32"/>
          <w:szCs w:val="32"/>
        </w:rPr>
      </w:pPr>
    </w:p>
    <w:p>
      <w:pPr>
        <w:pStyle w:val="2"/>
        <w:rPr>
          <w:rFonts w:hint="eastAsia" w:ascii="仿宋" w:eastAsia="仿宋" w:cs="仿宋"/>
          <w:kern w:val="28"/>
          <w:sz w:val="32"/>
          <w:szCs w:val="32"/>
        </w:rPr>
      </w:pPr>
    </w:p>
    <w:p>
      <w:pPr>
        <w:pStyle w:val="2"/>
        <w:rPr>
          <w:rFonts w:hint="eastAsia" w:ascii="仿宋" w:eastAsia="仿宋" w:cs="仿宋"/>
          <w:kern w:val="28"/>
          <w:sz w:val="32"/>
          <w:szCs w:val="32"/>
        </w:rPr>
      </w:pPr>
    </w:p>
    <w:p>
      <w:pPr>
        <w:jc w:val="center"/>
        <w:outlineLvl w:val="1"/>
        <w:rPr>
          <w:rFonts w:ascii="宋体" w:cs="宋体"/>
          <w:b/>
          <w:bCs/>
          <w:spacing w:val="20"/>
          <w:sz w:val="52"/>
          <w:szCs w:val="52"/>
        </w:rPr>
      </w:pPr>
      <w:r>
        <w:rPr>
          <w:rFonts w:hint="eastAsia" w:ascii="宋体" w:cs="宋体"/>
          <w:b/>
          <w:bCs/>
          <w:spacing w:val="20"/>
          <w:sz w:val="52"/>
          <w:szCs w:val="52"/>
        </w:rPr>
        <w:t>居家社区</w:t>
      </w:r>
      <w:r>
        <w:rPr>
          <w:rFonts w:hint="eastAsia" w:ascii="宋体" w:cs="宋体"/>
          <w:b/>
          <w:bCs/>
          <w:sz w:val="52"/>
          <w:szCs w:val="52"/>
        </w:rPr>
        <w:t>养老</w:t>
      </w:r>
      <w:r>
        <w:rPr>
          <w:rFonts w:hint="eastAsia" w:ascii="宋体" w:cs="宋体"/>
          <w:b/>
          <w:bCs/>
          <w:spacing w:val="20"/>
          <w:sz w:val="52"/>
          <w:szCs w:val="52"/>
        </w:rPr>
        <w:t>服务照料中心等级评估表</w:t>
      </w:r>
      <w:bookmarkEnd w:id="0"/>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line="800" w:lineRule="exact"/>
        <w:ind w:left="425"/>
        <w:textAlignment w:val="auto"/>
        <w:rPr>
          <w:rFonts w:ascii="仿宋" w:eastAsia="仿宋" w:cs="仿宋"/>
          <w:b/>
          <w:bCs/>
          <w:sz w:val="32"/>
          <w:szCs w:val="32"/>
          <w:u w:val="single"/>
          <w:lang w:eastAsia="zh-CN"/>
        </w:rPr>
      </w:pPr>
      <w:r>
        <w:rPr>
          <w:rFonts w:hint="eastAsia" w:ascii="仿宋" w:eastAsia="仿宋" w:cs="仿宋"/>
          <w:b/>
          <w:bCs/>
          <w:sz w:val="32"/>
          <w:szCs w:val="32"/>
          <w:lang w:eastAsia="zh-CN"/>
        </w:rPr>
        <w:t>评估时间：</w:t>
      </w:r>
    </w:p>
    <w:p>
      <w:pPr>
        <w:pStyle w:val="2"/>
        <w:keepNext w:val="0"/>
        <w:keepLines w:val="0"/>
        <w:pageBreakBefore w:val="0"/>
        <w:widowControl/>
        <w:kinsoku/>
        <w:wordWrap/>
        <w:overflowPunct/>
        <w:topLinePunct w:val="0"/>
        <w:autoSpaceDE/>
        <w:autoSpaceDN/>
        <w:bidi w:val="0"/>
        <w:adjustRightInd/>
        <w:snapToGrid/>
        <w:spacing w:line="800" w:lineRule="exact"/>
        <w:ind w:left="425"/>
        <w:textAlignment w:val="auto"/>
        <w:rPr>
          <w:rFonts w:ascii="仿宋" w:eastAsia="仿宋" w:cs="仿宋"/>
          <w:b/>
          <w:bCs/>
          <w:sz w:val="32"/>
          <w:szCs w:val="32"/>
          <w:lang w:eastAsia="zh-CN"/>
        </w:rPr>
      </w:pPr>
      <w:r>
        <w:rPr>
          <w:rFonts w:ascii="仿宋" w:eastAsia="仿宋" w:cs="仿宋"/>
          <w:b/>
          <w:bCs/>
          <w:sz w:val="32"/>
          <w:szCs w:val="32"/>
          <w:lang w:eastAsia="zh-CN"/>
        </w:rPr>
        <w:t>被</w:t>
      </w:r>
      <w:r>
        <w:rPr>
          <w:rFonts w:hint="eastAsia" w:ascii="仿宋" w:eastAsia="仿宋" w:cs="仿宋"/>
          <w:b/>
          <w:bCs/>
          <w:sz w:val="32"/>
          <w:szCs w:val="32"/>
          <w:lang w:eastAsia="zh-CN"/>
        </w:rPr>
        <w:t>评估单位：</w:t>
      </w:r>
      <w:r>
        <w:rPr>
          <w:rFonts w:hint="eastAsia" w:ascii="仿宋" w:eastAsia="仿宋" w:cs="仿宋"/>
          <w:b/>
          <w:bCs/>
          <w:sz w:val="32"/>
          <w:szCs w:val="32"/>
          <w:lang w:val="en-US" w:eastAsia="zh-CN"/>
        </w:rPr>
        <w:t xml:space="preserve">               </w:t>
      </w:r>
      <w:r>
        <w:rPr>
          <w:rFonts w:hint="eastAsia" w:ascii="仿宋" w:eastAsia="仿宋" w:cs="仿宋"/>
          <w:b/>
          <w:bCs/>
          <w:sz w:val="32"/>
          <w:szCs w:val="32"/>
          <w:lang w:eastAsia="zh-CN"/>
        </w:rPr>
        <w:t>（盖章）</w:t>
      </w:r>
    </w:p>
    <w:p>
      <w:pPr>
        <w:pStyle w:val="2"/>
        <w:rPr>
          <w:rFonts w:ascii="仿宋" w:eastAsia="仿宋" w:cs="仿宋"/>
          <w:b/>
          <w:bCs/>
          <w:sz w:val="32"/>
          <w:szCs w:val="32"/>
          <w:lang w:eastAsia="zh-CN"/>
        </w:rPr>
      </w:pPr>
    </w:p>
    <w:p>
      <w:pPr>
        <w:rPr>
          <w:rFonts w:ascii="仿宋" w:eastAsia="仿宋" w:cs="仿宋"/>
          <w:b/>
          <w:bCs/>
          <w:sz w:val="32"/>
          <w:szCs w:val="32"/>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ind w:firstLine="643" w:firstLineChars="200"/>
        <w:rPr>
          <w:rFonts w:ascii="仿宋" w:eastAsia="仿宋" w:cs="仿宋"/>
          <w:b/>
          <w:bCs/>
          <w:sz w:val="32"/>
          <w:szCs w:val="32"/>
        </w:rPr>
      </w:pPr>
    </w:p>
    <w:p>
      <w:pPr>
        <w:pStyle w:val="9"/>
        <w:ind w:firstLine="640" w:firstLineChars="200"/>
        <w:rPr>
          <w:rFonts w:ascii="仿宋" w:eastAsia="仿宋" w:cs="仿宋"/>
          <w:sz w:val="32"/>
          <w:szCs w:val="32"/>
        </w:rPr>
      </w:pPr>
    </w:p>
    <w:p>
      <w:pPr>
        <w:pStyle w:val="9"/>
        <w:ind w:firstLine="1044" w:firstLineChars="200"/>
        <w:jc w:val="center"/>
        <w:rPr>
          <w:rFonts w:ascii="仿宋" w:eastAsia="仿宋" w:cs="仿宋"/>
          <w:b/>
          <w:bCs/>
          <w:sz w:val="52"/>
          <w:szCs w:val="52"/>
        </w:rPr>
      </w:pPr>
    </w:p>
    <w:p>
      <w:pPr>
        <w:pStyle w:val="9"/>
        <w:ind w:firstLine="1044" w:firstLineChars="200"/>
        <w:jc w:val="center"/>
        <w:rPr>
          <w:rFonts w:ascii="仿宋" w:eastAsia="仿宋" w:cs="仿宋"/>
          <w:b/>
          <w:bCs/>
          <w:sz w:val="52"/>
          <w:szCs w:val="52"/>
        </w:rPr>
      </w:pPr>
    </w:p>
    <w:p>
      <w:pPr>
        <w:pStyle w:val="9"/>
        <w:ind w:firstLine="1044" w:firstLineChars="200"/>
        <w:jc w:val="center"/>
        <w:rPr>
          <w:rFonts w:ascii="仿宋" w:eastAsia="仿宋" w:cs="仿宋"/>
          <w:b/>
          <w:bCs/>
          <w:sz w:val="52"/>
          <w:szCs w:val="52"/>
        </w:rPr>
      </w:pPr>
    </w:p>
    <w:p>
      <w:pPr>
        <w:pStyle w:val="9"/>
        <w:jc w:val="center"/>
        <w:rPr>
          <w:rFonts w:ascii="仿宋" w:eastAsia="仿宋" w:cs="仿宋"/>
          <w:sz w:val="32"/>
          <w:szCs w:val="32"/>
        </w:rPr>
      </w:pPr>
      <w:r>
        <w:rPr>
          <w:rFonts w:hint="eastAsia" w:ascii="仿宋" w:eastAsia="仿宋" w:cs="仿宋"/>
          <w:b/>
          <w:bCs/>
          <w:sz w:val="52"/>
          <w:szCs w:val="52"/>
        </w:rPr>
        <w:t>评估表说明</w:t>
      </w:r>
    </w:p>
    <w:p>
      <w:pPr>
        <w:pStyle w:val="9"/>
        <w:ind w:firstLine="640" w:firstLineChars="200"/>
        <w:rPr>
          <w:rFonts w:ascii="仿宋" w:eastAsia="仿宋" w:cs="仿宋"/>
          <w:sz w:val="32"/>
          <w:szCs w:val="32"/>
        </w:rPr>
      </w:pPr>
    </w:p>
    <w:p>
      <w:pPr>
        <w:pStyle w:val="9"/>
        <w:ind w:firstLine="640" w:firstLineChars="200"/>
        <w:rPr>
          <w:rFonts w:ascii="仿宋" w:eastAsia="仿宋" w:cs="仿宋"/>
          <w:sz w:val="32"/>
          <w:szCs w:val="32"/>
        </w:rPr>
      </w:pPr>
      <w:r>
        <w:rPr>
          <w:rFonts w:hint="eastAsia" w:ascii="仿宋" w:eastAsia="仿宋" w:cs="仿宋"/>
          <w:sz w:val="32"/>
          <w:szCs w:val="32"/>
        </w:rPr>
        <w:t>居家社区养老服务照料中心评估</w:t>
      </w:r>
      <w:r>
        <w:rPr>
          <w:rFonts w:hint="eastAsia" w:ascii="仿宋" w:eastAsia="仿宋" w:cs="仿宋"/>
          <w:b/>
          <w:bCs/>
          <w:sz w:val="32"/>
          <w:szCs w:val="32"/>
        </w:rPr>
        <w:t>参照《福建省社区居家养老服务照料中心星级评定暂行办法</w:t>
      </w:r>
      <w:r>
        <w:rPr>
          <w:rFonts w:hint="eastAsia" w:ascii="仿宋" w:eastAsia="仿宋" w:cs="仿宋"/>
          <w:sz w:val="32"/>
          <w:szCs w:val="32"/>
        </w:rPr>
        <w:t>》实施开展，根据服务资质、建筑和场地、设备和设施、服务人员、制度建设、服务项目及实施、必备要求等进行综合评分，居家养老服务照料中心星级评定由低到高分为三星级、四星级、五星级三个星级。</w:t>
      </w:r>
    </w:p>
    <w:p>
      <w:pPr>
        <w:pStyle w:val="9"/>
        <w:ind w:firstLine="640" w:firstLineChars="200"/>
        <w:rPr>
          <w:rFonts w:ascii="仿宋" w:eastAsia="仿宋" w:cs="仿宋"/>
          <w:sz w:val="32"/>
          <w:szCs w:val="32"/>
        </w:rPr>
      </w:pPr>
    </w:p>
    <w:p>
      <w:pPr>
        <w:pStyle w:val="9"/>
        <w:ind w:firstLine="640" w:firstLineChars="200"/>
        <w:rPr>
          <w:rFonts w:ascii="仿宋" w:eastAsia="仿宋" w:cs="仿宋"/>
          <w:sz w:val="32"/>
          <w:szCs w:val="32"/>
        </w:rPr>
      </w:pPr>
    </w:p>
    <w:p>
      <w:pPr>
        <w:pStyle w:val="9"/>
        <w:ind w:firstLine="640" w:firstLineChars="200"/>
        <w:rPr>
          <w:rFonts w:ascii="仿宋" w:eastAsia="仿宋" w:cs="仿宋"/>
          <w:sz w:val="32"/>
          <w:szCs w:val="32"/>
        </w:rPr>
      </w:pPr>
    </w:p>
    <w:p>
      <w:pPr>
        <w:ind w:firstLine="643" w:firstLineChars="200"/>
        <w:rPr>
          <w:rFonts w:ascii="仿宋" w:eastAsia="仿宋" w:cs="仿宋"/>
          <w:b/>
          <w:bCs/>
          <w:sz w:val="32"/>
          <w:szCs w:val="32"/>
        </w:rPr>
      </w:pPr>
    </w:p>
    <w:p>
      <w:pPr>
        <w:pStyle w:val="2"/>
        <w:rPr>
          <w:lang w:eastAsia="zh-CN"/>
        </w:rPr>
      </w:pPr>
    </w:p>
    <w:p>
      <w:pPr>
        <w:pStyle w:val="2"/>
        <w:rPr>
          <w:lang w:eastAsia="zh-CN"/>
        </w:rPr>
      </w:pPr>
    </w:p>
    <w:p>
      <w:pPr>
        <w:pStyle w:val="2"/>
        <w:rPr>
          <w:lang w:eastAsia="zh-CN"/>
        </w:rPr>
      </w:pPr>
    </w:p>
    <w:p>
      <w:pPr>
        <w:pStyle w:val="2"/>
        <w:rPr>
          <w:lang w:eastAsia="zh-CN"/>
        </w:rPr>
      </w:pPr>
    </w:p>
    <w:p>
      <w:pPr>
        <w:ind w:firstLine="643" w:firstLineChars="200"/>
        <w:rPr>
          <w:rFonts w:ascii="仿宋" w:eastAsia="仿宋" w:cs="仿宋"/>
          <w:b/>
          <w:bCs/>
          <w:sz w:val="32"/>
          <w:szCs w:val="32"/>
        </w:rPr>
      </w:pPr>
    </w:p>
    <w:p>
      <w:pPr>
        <w:pStyle w:val="2"/>
        <w:rPr>
          <w:rFonts w:ascii="仿宋" w:eastAsia="仿宋" w:cs="仿宋"/>
          <w:b/>
          <w:bCs/>
          <w:sz w:val="32"/>
          <w:szCs w:val="32"/>
          <w:lang w:eastAsia="zh-CN"/>
        </w:rPr>
      </w:pPr>
    </w:p>
    <w:p>
      <w:pPr>
        <w:rPr>
          <w:rFonts w:ascii="仿宋" w:eastAsia="仿宋" w:cs="仿宋"/>
          <w:b/>
          <w:bCs/>
          <w:sz w:val="32"/>
          <w:szCs w:val="32"/>
        </w:rPr>
      </w:pPr>
      <w:r>
        <w:rPr>
          <w:rFonts w:hint="eastAsia" w:ascii="仿宋" w:eastAsia="仿宋" w:cs="仿宋"/>
          <w:b/>
          <w:bCs/>
          <w:sz w:val="32"/>
          <w:szCs w:val="32"/>
        </w:rPr>
        <w:br w:type="page"/>
      </w:r>
    </w:p>
    <w:tbl>
      <w:tblPr>
        <w:tblStyle w:val="5"/>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89"/>
        <w:gridCol w:w="12"/>
        <w:gridCol w:w="2006"/>
        <w:gridCol w:w="10"/>
        <w:gridCol w:w="1643"/>
        <w:gridCol w:w="1587"/>
        <w:gridCol w:w="2022"/>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blHeader/>
        </w:trPr>
        <w:tc>
          <w:tcPr>
            <w:tcW w:w="246" w:type="pc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项目</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内容</w:t>
            </w:r>
          </w:p>
        </w:tc>
        <w:tc>
          <w:tcPr>
            <w:tcW w:w="949" w:type="pc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三星级</w:t>
            </w:r>
          </w:p>
        </w:tc>
        <w:tc>
          <w:tcPr>
            <w:tcW w:w="916" w:type="pc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四星级</w:t>
            </w:r>
          </w:p>
        </w:tc>
        <w:tc>
          <w:tcPr>
            <w:tcW w:w="1168" w:type="pct"/>
            <w:shd w:val="clear" w:color="auto" w:fill="auto"/>
            <w:noWrap/>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五星级</w:t>
            </w:r>
          </w:p>
        </w:tc>
        <w:tc>
          <w:tcPr>
            <w:tcW w:w="322" w:type="pct"/>
            <w:shd w:val="clear" w:color="auto" w:fill="auto"/>
            <w:noWrap/>
            <w:vAlign w:val="center"/>
          </w:tcPr>
          <w:p>
            <w:pPr>
              <w:widowControl/>
              <w:spacing w:line="240" w:lineRule="exact"/>
              <w:jc w:val="center"/>
              <w:textAlignment w:val="center"/>
              <w:rPr>
                <w:rFonts w:ascii="仿宋" w:eastAsia="仿宋" w:cs="仿宋"/>
                <w:b/>
                <w:bCs/>
                <w:color w:val="auto"/>
                <w:kern w:val="0"/>
                <w:sz w:val="20"/>
                <w:szCs w:val="20"/>
              </w:rPr>
            </w:pPr>
            <w:r>
              <w:rPr>
                <w:rFonts w:hint="eastAsia" w:ascii="仿宋" w:eastAsia="仿宋" w:cs="仿宋"/>
                <w:b/>
                <w:bCs/>
                <w:color w:val="auto"/>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服务资质</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机构资质</w:t>
            </w:r>
          </w:p>
        </w:tc>
        <w:tc>
          <w:tcPr>
            <w:tcW w:w="3034" w:type="pct"/>
            <w:gridSpan w:val="3"/>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服务机构依法取得法人资格，具有统一的社会信用代码证。</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医疗机构执业许可</w:t>
            </w:r>
          </w:p>
        </w:tc>
        <w:tc>
          <w:tcPr>
            <w:tcW w:w="949" w:type="pc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不强制要求但须有定期医护人员巡检（每月不低于2次）</w:t>
            </w:r>
          </w:p>
        </w:tc>
        <w:tc>
          <w:tcPr>
            <w:tcW w:w="916" w:type="pct"/>
            <w:shd w:val="clear" w:color="auto" w:fill="auto"/>
            <w:vAlign w:val="center"/>
          </w:tcPr>
          <w:p>
            <w:pPr>
              <w:widowControl/>
              <w:spacing w:line="240" w:lineRule="exact"/>
              <w:jc w:val="both"/>
              <w:textAlignment w:val="center"/>
              <w:rPr>
                <w:rFonts w:ascii="仿宋" w:eastAsia="仿宋" w:cs="仿宋"/>
                <w:color w:val="auto"/>
                <w:sz w:val="20"/>
                <w:szCs w:val="20"/>
              </w:rPr>
            </w:pPr>
            <w:r>
              <w:rPr>
                <w:rFonts w:hint="eastAsia" w:ascii="仿宋" w:eastAsia="仿宋" w:cs="仿宋"/>
                <w:color w:val="auto"/>
                <w:kern w:val="0"/>
                <w:sz w:val="20"/>
                <w:szCs w:val="20"/>
              </w:rPr>
              <w:t>不强制要求，可就近与当地医院签订合作协议。（但须有医护人员值班）</w:t>
            </w:r>
          </w:p>
        </w:tc>
        <w:tc>
          <w:tcPr>
            <w:tcW w:w="1168" w:type="pct"/>
            <w:shd w:val="clear" w:color="auto" w:fill="auto"/>
            <w:vAlign w:val="center"/>
          </w:tcPr>
          <w:p>
            <w:pPr>
              <w:widowControl/>
              <w:spacing w:line="240" w:lineRule="exact"/>
              <w:jc w:val="left"/>
              <w:textAlignment w:val="center"/>
              <w:rPr>
                <w:rFonts w:hint="eastAsia" w:ascii="仿宋" w:eastAsia="仿宋" w:cs="仿宋"/>
                <w:color w:val="auto"/>
                <w:kern w:val="0"/>
                <w:sz w:val="20"/>
                <w:szCs w:val="20"/>
                <w:shd w:val="clear"/>
              </w:rPr>
            </w:pPr>
            <w:r>
              <w:rPr>
                <w:rFonts w:hint="eastAsia" w:ascii="仿宋" w:eastAsia="仿宋" w:cs="仿宋"/>
                <w:color w:val="auto"/>
                <w:kern w:val="0"/>
                <w:sz w:val="20"/>
                <w:szCs w:val="20"/>
                <w:shd w:val="clear"/>
              </w:rPr>
              <w:t>内设</w:t>
            </w:r>
            <w:r>
              <w:rPr>
                <w:rFonts w:hint="eastAsia" w:ascii="仿宋" w:eastAsia="仿宋" w:cs="仿宋"/>
                <w:color w:val="auto"/>
                <w:kern w:val="0"/>
                <w:sz w:val="20"/>
                <w:szCs w:val="20"/>
              </w:rPr>
              <w:t>医疗</w:t>
            </w:r>
            <w:r>
              <w:rPr>
                <w:rFonts w:hint="eastAsia" w:ascii="仿宋" w:eastAsia="仿宋" w:cs="仿宋"/>
                <w:color w:val="auto"/>
                <w:kern w:val="0"/>
                <w:sz w:val="20"/>
                <w:szCs w:val="20"/>
                <w:shd w:val="clear"/>
              </w:rPr>
              <w:t>机构，并取得医疗机构执业许可证。</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kern w:val="0"/>
                <w:sz w:val="20"/>
                <w:szCs w:val="20"/>
              </w:rPr>
            </w:pPr>
            <w:r>
              <w:rPr>
                <w:rFonts w:hint="eastAsia" w:ascii="仿宋" w:eastAsia="仿宋" w:cs="仿宋"/>
                <w:b/>
                <w:bCs/>
                <w:color w:val="auto"/>
                <w:kern w:val="0"/>
                <w:sz w:val="20"/>
                <w:szCs w:val="20"/>
              </w:rPr>
              <w:t>建筑和场地</w:t>
            </w:r>
          </w:p>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建筑和场地</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机构设置总体环境</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靠近医疗卫生、文化体育、商业服务等公共服务设施，交通便利，有满足救护车驶入的道路，无水、气、声、光污染及自然灾害隐患。</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设计规范</w:t>
            </w: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建筑设计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建筑设计符合老年人、残疾人建筑设计规范。</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生活设施</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生活设施符合安全、消防、卫生、防疫、环保等国家标准。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left"/>
              <w:textAlignment w:val="center"/>
              <w:rPr>
                <w:rFonts w:ascii="仿宋" w:eastAsia="仿宋" w:cs="仿宋"/>
                <w:b/>
                <w:bCs/>
                <w:color w:val="auto"/>
                <w:sz w:val="20"/>
                <w:szCs w:val="20"/>
              </w:rPr>
            </w:pPr>
            <w:r>
              <w:rPr>
                <w:rFonts w:hint="eastAsia" w:ascii="仿宋" w:eastAsia="仿宋" w:cs="仿宋"/>
                <w:b/>
                <w:bCs/>
                <w:color w:val="auto"/>
                <w:kern w:val="0"/>
                <w:sz w:val="20"/>
                <w:szCs w:val="20"/>
              </w:rPr>
              <w:t>居住用房和主要公共活动用房布置</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老年人居住用房和主要公共活动用房应布置在日照充足、通风良好的地段。</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无障碍设计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主要出入口、大门、走廊、楼层通道、电梯、生活用房、公共活动用房、医疗保健用房等均符合无障碍设计要求，卫生间有扶手，无台阶。</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走廊的净宽和房间门的尺寸</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走廊的净宽和房间门的尺寸是考虑轮椅和担架床、医用床进出且门扇开启后的净宽尺寸。</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shd w:val="clear" w:color="auto" w:fill="auto"/>
            <w:vAlign w:val="center"/>
          </w:tcPr>
          <w:p>
            <w:pPr>
              <w:widowControl/>
              <w:spacing w:line="240" w:lineRule="exact"/>
              <w:jc w:val="left"/>
              <w:textAlignment w:val="center"/>
              <w:rPr>
                <w:rFonts w:ascii="仿宋" w:eastAsia="仿宋" w:cs="仿宋"/>
                <w:b/>
                <w:bCs/>
                <w:color w:val="auto"/>
                <w:sz w:val="20"/>
                <w:szCs w:val="20"/>
              </w:rPr>
            </w:pPr>
            <w:r>
              <w:rPr>
                <w:rFonts w:hint="eastAsia" w:ascii="仿宋" w:eastAsia="仿宋" w:cs="仿宋"/>
                <w:b/>
                <w:bCs/>
                <w:color w:val="auto"/>
                <w:kern w:val="0"/>
                <w:sz w:val="20"/>
                <w:szCs w:val="20"/>
              </w:rPr>
              <w:t>设计规范</w:t>
            </w: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公共场所及安全标志标识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出入口标识、楼层平面示意图、楼梯间楼层标识等连续清晰，安全标识醒目。</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建筑面积不含室外活动空地</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200m</w:t>
            </w:r>
            <w:r>
              <w:rPr>
                <w:rStyle w:val="10"/>
                <w:rFonts w:hint="eastAsia"/>
                <w:color w:val="auto"/>
                <w:sz w:val="20"/>
                <w:szCs w:val="20"/>
              </w:rPr>
              <w:t>2</w:t>
            </w:r>
            <w:r>
              <w:rPr>
                <w:rStyle w:val="11"/>
                <w:rFonts w:hint="eastAsia"/>
                <w:color w:val="auto"/>
                <w:sz w:val="20"/>
                <w:szCs w:val="20"/>
              </w:rPr>
              <w:t>—500m</w:t>
            </w:r>
            <w:r>
              <w:rPr>
                <w:rStyle w:val="10"/>
                <w:rFonts w:hint="eastAsia"/>
                <w:color w:val="auto"/>
                <w:sz w:val="20"/>
                <w:szCs w:val="20"/>
              </w:rPr>
              <w:t>2</w:t>
            </w:r>
          </w:p>
        </w:tc>
        <w:tc>
          <w:tcPr>
            <w:tcW w:w="916" w:type="pct"/>
            <w:tcBorders>
              <w:right w:val="nil"/>
            </w:tcBorders>
            <w:shd w:val="clear" w:color="auto" w:fill="auto"/>
            <w:noWrap/>
            <w:vAlign w:val="center"/>
          </w:tcPr>
          <w:p>
            <w:pPr>
              <w:widowControl/>
              <w:spacing w:line="240" w:lineRule="exact"/>
              <w:jc w:val="both"/>
              <w:textAlignment w:val="center"/>
              <w:rPr>
                <w:rFonts w:ascii="仿宋" w:eastAsia="仿宋" w:cs="仿宋"/>
                <w:color w:val="auto"/>
                <w:sz w:val="20"/>
                <w:szCs w:val="20"/>
              </w:rPr>
            </w:pPr>
            <w:r>
              <w:rPr>
                <w:rFonts w:hint="eastAsia" w:ascii="仿宋" w:eastAsia="仿宋" w:cs="仿宋"/>
                <w:color w:val="auto"/>
                <w:kern w:val="0"/>
                <w:sz w:val="20"/>
                <w:szCs w:val="20"/>
              </w:rPr>
              <w:t>500m</w:t>
            </w:r>
            <w:r>
              <w:rPr>
                <w:rStyle w:val="10"/>
                <w:rFonts w:hint="eastAsia"/>
                <w:color w:val="auto"/>
                <w:sz w:val="20"/>
                <w:szCs w:val="20"/>
              </w:rPr>
              <w:t>2</w:t>
            </w:r>
            <w:r>
              <w:rPr>
                <w:rStyle w:val="11"/>
                <w:rFonts w:hint="eastAsia"/>
                <w:color w:val="auto"/>
                <w:sz w:val="20"/>
                <w:szCs w:val="20"/>
              </w:rPr>
              <w:t>—800m</w:t>
            </w:r>
            <w:r>
              <w:rPr>
                <w:rStyle w:val="10"/>
                <w:rFonts w:hint="eastAsia"/>
                <w:color w:val="auto"/>
                <w:sz w:val="20"/>
                <w:szCs w:val="20"/>
              </w:rPr>
              <w:t>2</w:t>
            </w:r>
          </w:p>
        </w:tc>
        <w:tc>
          <w:tcPr>
            <w:tcW w:w="1168" w:type="pct"/>
            <w:tcBorders>
              <w:right w:val="single" w:color="auto" w:sz="4" w:space="0"/>
            </w:tcBorders>
            <w:shd w:val="clear" w:color="auto" w:fill="auto"/>
            <w:noWrap/>
            <w:vAlign w:val="center"/>
          </w:tcPr>
          <w:p>
            <w:pPr>
              <w:widowControl/>
              <w:spacing w:line="240" w:lineRule="exact"/>
              <w:jc w:val="left"/>
              <w:textAlignment w:val="center"/>
              <w:rPr>
                <w:rFonts w:hint="eastAsia" w:ascii="仿宋" w:eastAsia="仿宋" w:cs="仿宋"/>
                <w:color w:val="auto"/>
                <w:kern w:val="0"/>
                <w:sz w:val="20"/>
                <w:szCs w:val="20"/>
              </w:rPr>
            </w:pPr>
            <w:r>
              <w:rPr>
                <w:rFonts w:hint="eastAsia" w:ascii="仿宋" w:eastAsia="仿宋" w:cs="仿宋"/>
                <w:color w:val="auto"/>
                <w:kern w:val="0"/>
                <w:sz w:val="20"/>
                <w:szCs w:val="20"/>
              </w:rPr>
              <w:t>大于800m</w:t>
            </w:r>
            <w:r>
              <w:rPr>
                <w:rStyle w:val="10"/>
                <w:rFonts w:hint="eastAsia"/>
                <w:color w:val="auto"/>
                <w:sz w:val="20"/>
                <w:szCs w:val="20"/>
              </w:rPr>
              <w:t>2</w:t>
            </w:r>
          </w:p>
        </w:tc>
        <w:tc>
          <w:tcPr>
            <w:tcW w:w="322" w:type="pct"/>
            <w:tcBorders>
              <w:left w:val="single" w:color="auto" w:sz="4" w:space="0"/>
            </w:tcBorders>
            <w:shd w:val="clear" w:color="auto" w:fill="auto"/>
            <w:noWrap/>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床位数（包括休息的躺椅）</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5-10张</w:t>
            </w:r>
          </w:p>
        </w:tc>
        <w:tc>
          <w:tcPr>
            <w:tcW w:w="916" w:type="pct"/>
            <w:tcBorders>
              <w:right w:val="nil"/>
            </w:tcBorders>
            <w:shd w:val="clear" w:color="auto" w:fill="auto"/>
            <w:vAlign w:val="center"/>
          </w:tcPr>
          <w:p>
            <w:pPr>
              <w:widowControl/>
              <w:spacing w:line="240" w:lineRule="exact"/>
              <w:jc w:val="both"/>
              <w:textAlignment w:val="center"/>
              <w:rPr>
                <w:rFonts w:ascii="仿宋" w:eastAsia="仿宋" w:cs="仿宋"/>
                <w:color w:val="auto"/>
                <w:sz w:val="20"/>
                <w:szCs w:val="20"/>
              </w:rPr>
            </w:pPr>
            <w:r>
              <w:rPr>
                <w:rFonts w:hint="eastAsia" w:ascii="仿宋" w:eastAsia="仿宋" w:cs="仿宋"/>
                <w:color w:val="auto"/>
                <w:kern w:val="0"/>
                <w:sz w:val="20"/>
                <w:szCs w:val="20"/>
              </w:rPr>
              <w:t>不少于1</w:t>
            </w:r>
            <w:r>
              <w:rPr>
                <w:rStyle w:val="12"/>
                <w:rFonts w:hint="eastAsia"/>
                <w:color w:val="auto"/>
                <w:sz w:val="20"/>
                <w:szCs w:val="20"/>
              </w:rPr>
              <w:t>5</w:t>
            </w:r>
            <w:r>
              <w:rPr>
                <w:rStyle w:val="11"/>
                <w:rFonts w:hint="eastAsia"/>
                <w:color w:val="auto"/>
                <w:sz w:val="20"/>
                <w:szCs w:val="20"/>
              </w:rPr>
              <w:t>张</w:t>
            </w:r>
          </w:p>
        </w:tc>
        <w:tc>
          <w:tcPr>
            <w:tcW w:w="1168" w:type="pct"/>
            <w:tcBorders>
              <w:right w:val="single" w:color="auto" w:sz="4" w:space="0"/>
            </w:tcBorders>
            <w:shd w:val="clear" w:color="auto" w:fill="auto"/>
            <w:vAlign w:val="center"/>
          </w:tcPr>
          <w:p>
            <w:pPr>
              <w:widowControl/>
              <w:spacing w:line="240" w:lineRule="exact"/>
              <w:jc w:val="left"/>
              <w:textAlignment w:val="center"/>
              <w:rPr>
                <w:rFonts w:hint="eastAsia" w:ascii="仿宋" w:eastAsia="仿宋" w:cs="仿宋"/>
                <w:color w:val="auto"/>
                <w:kern w:val="0"/>
                <w:sz w:val="20"/>
                <w:szCs w:val="20"/>
              </w:rPr>
            </w:pPr>
            <w:r>
              <w:rPr>
                <w:rFonts w:hint="eastAsia" w:ascii="仿宋" w:eastAsia="仿宋" w:cs="仿宋"/>
                <w:color w:val="auto"/>
                <w:kern w:val="0"/>
                <w:sz w:val="20"/>
                <w:szCs w:val="20"/>
              </w:rPr>
              <w:t>不少于20张</w:t>
            </w:r>
          </w:p>
        </w:tc>
        <w:tc>
          <w:tcPr>
            <w:tcW w:w="322" w:type="pct"/>
            <w:tcBorders>
              <w:left w:val="single" w:color="auto" w:sz="4" w:space="0"/>
            </w:tcBorders>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老年人用房</w:t>
            </w: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生活用房</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休息室、公共卫生间、开水间</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休息室、卧室（含卫生间）、餐厅（含配餐间）、开水间、淋浴房、公共卫生间</w:t>
            </w:r>
          </w:p>
        </w:tc>
        <w:tc>
          <w:tcPr>
            <w:tcW w:w="1168" w:type="pct"/>
            <w:tcBorders>
              <w:top w:val="nil"/>
            </w:tcBorders>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休息室、卧室（含卫生间）、餐厅（含配餐间）、开水间、淋浴房、公共卫生间</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医疗保健</w:t>
            </w:r>
            <w:r>
              <w:rPr>
                <w:rFonts w:hint="eastAsia" w:ascii="仿宋" w:eastAsia="仿宋" w:cs="仿宋"/>
                <w:b/>
                <w:bCs/>
                <w:color w:val="auto"/>
                <w:kern w:val="0"/>
                <w:sz w:val="20"/>
                <w:szCs w:val="20"/>
              </w:rPr>
              <w:br w:type="textWrapping"/>
            </w:r>
            <w:r>
              <w:rPr>
                <w:rFonts w:hint="eastAsia" w:ascii="仿宋" w:eastAsia="仿宋" w:cs="仿宋"/>
                <w:b/>
                <w:bCs/>
                <w:color w:val="auto"/>
                <w:kern w:val="0"/>
                <w:sz w:val="20"/>
                <w:szCs w:val="20"/>
              </w:rPr>
              <w:t>用房</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医疗保健室（不强制要求）</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医疗保健室</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医疗保健室、康复训练室、心理疏导室</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公共活动</w:t>
            </w:r>
            <w:r>
              <w:rPr>
                <w:rFonts w:hint="eastAsia" w:ascii="仿宋" w:eastAsia="仿宋" w:cs="仿宋"/>
                <w:b/>
                <w:bCs/>
                <w:color w:val="auto"/>
                <w:kern w:val="0"/>
                <w:sz w:val="20"/>
                <w:szCs w:val="20"/>
              </w:rPr>
              <w:br w:type="textWrapping"/>
            </w:r>
            <w:r>
              <w:rPr>
                <w:rFonts w:hint="eastAsia" w:ascii="仿宋" w:eastAsia="仿宋" w:cs="仿宋"/>
                <w:b/>
                <w:bCs/>
                <w:color w:val="auto"/>
                <w:kern w:val="0"/>
                <w:sz w:val="20"/>
                <w:szCs w:val="20"/>
              </w:rPr>
              <w:t>用房</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阅览（书画）室、棋牌室、多功能活动室</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阅览（书画）室、棋牌室、多功能活动室、爱心小屋、健身房、网络室</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阅览（书画）室、棋牌室、多功能活动室、爱心小屋、健身房、网络室、少儿活动专区</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管理服务用房</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办公室、职工用房、设备用房、档案室</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办公室、厨房、洗衣房、职工用房、设备用房、档案室以及专用晾晒场地</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办公室、厨房、洗衣房、职工用房、设备用房、档案室以及专用晾晒场地</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设施和设备</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消防设施</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按照消防验收或备案的要求配置消防报警、防火器具、标志标识，紧急疏散通道等设施设备，并保持设施设备完好有效。</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无障碍医用电梯</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不强制要求指针对收住自理老人</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二层及以上的楼层有老人用房时，需要配备无障碍且能兼作医用的电梯，平房则不考虑该项。</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冷暖空调</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公共场所、卧室均需配备冷暖空调（不含走廊卫生间）。</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健身器材</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具有辅助性、适老化健身器材</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设施和设备</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康复辅具</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拐杖3副、轮椅1台、助行器1台</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拐杖3副以上、轮椅2台、助行器2台、沐浴椅2张</w:t>
            </w:r>
          </w:p>
        </w:tc>
        <w:tc>
          <w:tcPr>
            <w:tcW w:w="1168" w:type="pct"/>
            <w:shd w:val="clear" w:color="auto" w:fill="auto"/>
            <w:vAlign w:val="center"/>
          </w:tcPr>
          <w:p>
            <w:pPr>
              <w:widowControl/>
              <w:spacing w:line="240" w:lineRule="exact"/>
              <w:textAlignment w:val="center"/>
              <w:rPr>
                <w:rFonts w:hint="eastAsia" w:ascii="仿宋" w:eastAsia="仿宋" w:cs="仿宋"/>
                <w:color w:val="auto"/>
                <w:kern w:val="0"/>
                <w:sz w:val="20"/>
                <w:szCs w:val="20"/>
              </w:rPr>
            </w:pPr>
            <w:r>
              <w:rPr>
                <w:rFonts w:hint="eastAsia" w:ascii="仿宋" w:eastAsia="仿宋" w:cs="仿宋"/>
                <w:color w:val="auto"/>
                <w:kern w:val="0"/>
                <w:sz w:val="20"/>
                <w:szCs w:val="20"/>
              </w:rPr>
              <w:t>拐杖3副以上、轮椅2台以上、助行器2台以上、沐浴椅4张、沐浴床1张</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公共卫生间</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公共卫生间防滑、通风，有坐便器并安装呼叫装置。</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公共卫生间男女分设，防滑、通风、有坐便器并安装呼叫装置。</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热水、取暖</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有热水供应</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有热水供应、有取暖设施</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尖角凸出处理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老年人能接触到的各种设备无尖角凸出部分。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地面防滑</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地面做防滑处理。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安保设备</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有视频监控系统、有呼收报警系统。</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通讯设施</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有宽带、WIFI、固定电话</w:t>
            </w:r>
          </w:p>
        </w:tc>
        <w:tc>
          <w:tcPr>
            <w:tcW w:w="916"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有1台公用电脑、宽带、WIFI、固定电话</w:t>
            </w:r>
          </w:p>
        </w:tc>
        <w:tc>
          <w:tcPr>
            <w:tcW w:w="1168"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有2台公用电脑、宽带、WIFI、固定电话</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文化娱乐设施</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提供电视、棋牌桌、书籍、报纸、刊物及绘画用品。</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厨房设备</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配备生熟食操作台、生熟食冷冻冷藏箱、生熟食容器、餐具消毒柜。</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洗衣设备</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有洗衣机</w:t>
            </w:r>
          </w:p>
        </w:tc>
        <w:tc>
          <w:tcPr>
            <w:tcW w:w="1168" w:type="pc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有洗衣机、有烘干机</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接送汽车（自有或租赁）</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1168"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低偿为有需求的老年人提供交通接送服务，并保证安全。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服务人员</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人数及持证上岗情况</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服务（含护理）人员数达到2人</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服务（含护理）人员数达到7人，持证人员必须占30%以上</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服务（含护理）人员数达到8人，持证人员必须占50%以上</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社会工作者（含证）人数</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社会工作者（持证）1人</w:t>
            </w:r>
          </w:p>
        </w:tc>
        <w:tc>
          <w:tcPr>
            <w:tcW w:w="1168" w:type="pct"/>
            <w:shd w:val="clear" w:color="auto" w:fill="auto"/>
            <w:vAlign w:val="center"/>
          </w:tcPr>
          <w:p>
            <w:pPr>
              <w:widowControl/>
              <w:spacing w:line="240" w:lineRule="exact"/>
              <w:textAlignment w:val="center"/>
              <w:rPr>
                <w:rFonts w:hint="eastAsia" w:ascii="仿宋" w:eastAsia="仿宋" w:cs="仿宋"/>
                <w:color w:val="auto"/>
                <w:kern w:val="0"/>
                <w:sz w:val="20"/>
                <w:szCs w:val="20"/>
              </w:rPr>
            </w:pPr>
            <w:r>
              <w:rPr>
                <w:rFonts w:hint="eastAsia" w:ascii="仿宋" w:eastAsia="仿宋" w:cs="仿宋"/>
                <w:color w:val="auto"/>
                <w:kern w:val="0"/>
                <w:sz w:val="20"/>
                <w:szCs w:val="20"/>
              </w:rPr>
              <w:t>社会工作者（持证）1人以上</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厨师（含证）</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厨师（持证）1人</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厨师（持证）1人</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医生、护士</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不强制要求机构配备但需定期外聘巡检</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护士（持证）2人，医生1人（可兼职）</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护士（持证）2人以上，医生1人（可兼职）</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护理员</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2人（持证）</w:t>
            </w:r>
          </w:p>
        </w:tc>
        <w:tc>
          <w:tcPr>
            <w:tcW w:w="1168"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3人（持证）以上</w:t>
            </w:r>
          </w:p>
        </w:tc>
        <w:tc>
          <w:tcPr>
            <w:tcW w:w="322" w:type="pct"/>
            <w:shd w:val="clear" w:color="auto" w:fill="auto"/>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其他人员</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持有所从事工种的初级以上职业证书或专项能力证书，服务人员持有《健康证》。</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人员管理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固定工作人员有聘用合同，合作单位负责人员以合作协议或合同为准。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基本要求</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穿工作服，与岗位功能协调，服装整洁，微笑服务，语言文明，举止大方。养老护理员按职业仪容仪表要求。</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人员培训</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行政管理人员每年接受养老管理培训，有记录；专业技术人员每年按要求完成继续教育学习，有登记；机构内部每年有开展职业道德、行业规范、技术培训等，有记录。</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制度建设</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管理制度</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财务管理、档案管理、环境卫生、安全保卫等规章制度健全。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工作标准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提供的所有服务项目，每一项都有工作标准。服务标准应达到或超过福建省《城市社区居家养老服务规范》的要求。</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制度建设</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管理体制</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实行岗位责任制、任期考核制。</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信息资料统计上报</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有机构工作信息资料统计，按规定按时上报主管部门无差错。</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服务管理</w:t>
            </w: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kern w:val="0"/>
                <w:sz w:val="20"/>
                <w:szCs w:val="20"/>
              </w:rPr>
            </w:pPr>
            <w:r>
              <w:rPr>
                <w:rFonts w:hint="eastAsia" w:ascii="仿宋" w:eastAsia="仿宋" w:cs="仿宋"/>
                <w:b/>
                <w:bCs/>
                <w:color w:val="auto"/>
                <w:kern w:val="0"/>
                <w:sz w:val="20"/>
                <w:szCs w:val="20"/>
              </w:rPr>
              <w:t>服务项目及收费</w:t>
            </w:r>
          </w:p>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标准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公开。</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服务流程管理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接受服务申请、确定服务对象、确认服务项目、签订服务协议（与托管对象）、安排人员开展服务、回访监督全流程要求明确。</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246" w:type="pct"/>
            <w:vMerge w:val="continue"/>
            <w:shd w:val="clear" w:color="auto" w:fill="auto"/>
            <w:vAlign w:val="center"/>
          </w:tcPr>
          <w:p>
            <w:pPr>
              <w:rPr>
                <w:color w:val="auto"/>
              </w:rPr>
            </w:pPr>
          </w:p>
        </w:tc>
        <w:tc>
          <w:tcPr>
            <w:tcW w:w="231" w:type="pct"/>
            <w:gridSpan w:val="2"/>
            <w:vMerge w:val="continue"/>
            <w:shd w:val="clear" w:color="auto" w:fill="auto"/>
            <w:vAlign w:val="center"/>
          </w:tcPr>
          <w:p>
            <w:pPr>
              <w:rPr>
                <w:color w:val="auto"/>
              </w:rPr>
            </w:pPr>
          </w:p>
        </w:tc>
        <w:tc>
          <w:tcPr>
            <w:tcW w:w="1164" w:type="pct"/>
            <w:gridSpan w:val="2"/>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服务记录</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服务记录、服务评价等表格记录及时，纸质和电子版齐全完整、保管安全。</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服务对象服务评估、服务记录、服务评价等表格记录及时，纸质和电子版齐全完整、保管安全。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服务改进</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有服务投诉渠道及调解机制、有征求意见渠道，定期检查改进并记录。</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服务检查</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有自查并记录，有管理部门检查记录。</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卫生管理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有环境卫生服务的设备，能正常使用。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地面、墙面、天花板无污染、灰尘、杂物、蜘蛛网，每日清扫。</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门窗、玻璃明亮，无污染、灰尘。</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家具、灯具洁净、完好。</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中心内用物摆放有序，床、床头桌、脸盆固定放置。</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各种标志牌、装饰品无灰尘、污渍、破损。</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环境无积存垃圾，无卫生死角，生活垃圾每日清除，按规定处理。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公共区域畅通，无杂物、污渍、水渍。</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按程序和要求定期检查环境卫生服务效果。</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有卫生防疫制度并公示。</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46" w:type="pct"/>
            <w:vMerge w:val="continue"/>
            <w:shd w:val="clear" w:color="auto" w:fill="auto"/>
            <w:vAlign w:val="center"/>
          </w:tcPr>
          <w:p>
            <w:pPr>
              <w:rPr>
                <w:color w:val="auto"/>
              </w:rPr>
            </w:pPr>
          </w:p>
        </w:tc>
        <w:tc>
          <w:tcPr>
            <w:tcW w:w="1396" w:type="pct"/>
            <w:gridSpan w:val="4"/>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安全管理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安全管理组织健全，分工职责明确，有召开安全专题会议，有年度安全计划，有安全操作规范，有签订安全责任书。</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有安全专（兼）职人员，每年接受在岗教育培训，熟悉安全管理相关法律法规及技术规范，能处理突发安全事件。</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食品安全、信息安全、环境安全等管理制度健全。</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食品安全、医疗护理安全、人身安全、财产安全、信息安全、环境安全等管理制度健全。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有安全监控系统，安防设施设备完善、灵敏、有效。</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各种安全记录完备，有安全检查档案，记录详细。</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有水池、高坡、楼梯、阳台等危险地段的，须设置警示牌，安装防护设施。</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建立出入、探视、请销假等制度，防止老年人走失</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46" w:type="pct"/>
            <w:vMerge w:val="continue"/>
            <w:shd w:val="clear" w:color="auto" w:fill="auto"/>
            <w:vAlign w:val="center"/>
          </w:tcPr>
          <w:p>
            <w:pPr>
              <w:rPr>
                <w:color w:val="auto"/>
              </w:rPr>
            </w:pPr>
          </w:p>
        </w:tc>
        <w:tc>
          <w:tcPr>
            <w:tcW w:w="1396" w:type="pct"/>
            <w:gridSpan w:val="4"/>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安全管理</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建立各种疾病、事故、灾害、消防、公共突发事件处理的应急预案，每年组织演练2次。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对自伤、伤人、跌倒、坠床、噎食、误吸、走失、烫伤等事件有明确应急处理流程和报告制度。</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服务项目及实施</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日间照料</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在中心内提供老人日间照料服务。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过夜照料（短期寄养）</w:t>
            </w:r>
          </w:p>
        </w:tc>
        <w:tc>
          <w:tcPr>
            <w:tcW w:w="949" w:type="pct"/>
            <w:vMerge w:val="restar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为高龄、失能、半失能老人就近提供喘息式短期寄养、集中照护服务。配置24小时值班人员。</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949" w:type="pct"/>
            <w:vMerge w:val="continue"/>
            <w:shd w:val="clear" w:color="auto" w:fill="auto"/>
            <w:vAlign w:val="center"/>
          </w:tcPr>
          <w:p>
            <w:pPr>
              <w:rPr>
                <w:color w:val="auto"/>
              </w:rPr>
            </w:pP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有个人生活照料服务技术操作规范及服务流程，包括服务范围、内容、时间、地点、人员等，向服务对象和第三方公开。</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949" w:type="pct"/>
            <w:vMerge w:val="continue"/>
            <w:shd w:val="clear" w:color="auto" w:fill="auto"/>
            <w:vAlign w:val="center"/>
          </w:tcPr>
          <w:p>
            <w:pPr>
              <w:rPr>
                <w:color w:val="auto"/>
              </w:rPr>
            </w:pP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对服务对象的服务需求进行综合评估，形成纸质和电子档案。</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949" w:type="pct"/>
            <w:vMerge w:val="continue"/>
            <w:shd w:val="clear" w:color="auto" w:fill="auto"/>
            <w:vAlign w:val="center"/>
          </w:tcPr>
          <w:p>
            <w:pPr>
              <w:rPr>
                <w:color w:val="auto"/>
              </w:rPr>
            </w:pP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服务质量做到：服务对象身体清洁、穿着得体舒适、无异味。做到“四无”（无压疮、无坠床、无跌倒、无烫伤），Ⅱ度压疮发生率为0。</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vMerge w:val="continue"/>
            <w:shd w:val="clear" w:color="auto" w:fill="auto"/>
            <w:vAlign w:val="center"/>
          </w:tcPr>
          <w:p>
            <w:pPr>
              <w:rPr>
                <w:color w:val="auto"/>
              </w:rPr>
            </w:pPr>
          </w:p>
        </w:tc>
        <w:tc>
          <w:tcPr>
            <w:tcW w:w="949" w:type="pct"/>
            <w:vMerge w:val="continue"/>
            <w:shd w:val="clear" w:color="auto" w:fill="auto"/>
            <w:vAlign w:val="center"/>
          </w:tcPr>
          <w:p>
            <w:pPr>
              <w:rPr>
                <w:color w:val="auto"/>
              </w:rPr>
            </w:pP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服务人员“七知道”服务对象（姓名、照料重点、爱好、疾病、家庭、治疗、心理）（现场抽检机构服务人员的10%）。</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建档服务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建立服务对象档案动态管理机制，全面掌握老人的个人信息、经济状况、健康情况、养老需求、家庭信息、子女信息等，并形成纸质和电子档案。</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应急协助服务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接受紧急呼叫来电并响应服务；为老人联系紧急情况下的联系人；服务人员赶赴现场协助救援。</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位置信息服务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配置便于老人使用的定位监控终端，随时获取老人的位置信息，对老人进行关爱定位和远程监护。</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主动关怀（回访）服务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为服务对象提供上门访部、电话定期回访服务。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文体娱乐服务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定期开展有益于身心健康的文体娱乐、养生保健、社区公益等活动，做到内容丰富，形式多样，有记录。</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Style w:val="13"/>
                <w:rFonts w:hint="eastAsia"/>
                <w:b/>
                <w:bCs/>
                <w:color w:val="auto"/>
                <w:sz w:val="20"/>
                <w:szCs w:val="20"/>
              </w:rPr>
              <w:t>助</w:t>
            </w:r>
            <w:r>
              <w:rPr>
                <w:rStyle w:val="11"/>
                <w:rFonts w:hint="eastAsia"/>
                <w:b/>
                <w:bCs/>
                <w:color w:val="auto"/>
                <w:sz w:val="20"/>
                <w:szCs w:val="20"/>
              </w:rPr>
              <w:t>餐服务</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协助和集中进食、送（做）餐。食谱公开，根据服务对象的需求，按时供应饭菜，荤素搭配，干净卫生，符合营养要求。食品配送机构遵守食品安全法并符合国家卫生部《餐饮业和集体用餐配送单位卫生规范》。</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24"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助医服务</w:t>
            </w:r>
          </w:p>
        </w:tc>
        <w:tc>
          <w:tcPr>
            <w:tcW w:w="1171" w:type="pct"/>
            <w:gridSpan w:val="3"/>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陪同就诊、带药服务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低偿为服务对象提供陪同就诊、带药服务。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24" w:type="pct"/>
            <w:vMerge w:val="continue"/>
            <w:shd w:val="clear" w:color="auto" w:fill="auto"/>
            <w:vAlign w:val="center"/>
          </w:tcPr>
          <w:p>
            <w:pPr>
              <w:rPr>
                <w:color w:val="auto"/>
              </w:rPr>
            </w:pPr>
          </w:p>
        </w:tc>
        <w:tc>
          <w:tcPr>
            <w:tcW w:w="1171" w:type="pct"/>
            <w:gridSpan w:val="3"/>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中医保健服务</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在社区卫生医疗机构医生的指导下为老年人提供中医保健养生知识指导和咨询服务。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康复服务</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由专业的康复师为老年人提供康复知识指导和咨询服务。运用综合康复手段，低偿为老年人提供维护身心功能的康复服务。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助浴服务</w:t>
            </w:r>
          </w:p>
        </w:tc>
        <w:tc>
          <w:tcPr>
            <w:tcW w:w="949" w:type="pct"/>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低偿为服务对象提供在点、上门和外出助浴服务。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助洁服务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低偿为服务对象提供上门居室清洁、物具清洁服务。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洗涤服务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低偿为服务对象提供衣服集中洗涤、上门洗涤服务。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助行服务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低偿为服务对象提供户外散步和外出助行服务。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代办服务</w:t>
            </w:r>
          </w:p>
        </w:tc>
        <w:tc>
          <w:tcPr>
            <w:tcW w:w="3034" w:type="pct"/>
            <w:gridSpan w:val="3"/>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低偿为服务对象提供代缴、代购、代领、代修、代寄等服务。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服务项目及实施</w:t>
            </w: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法律维权服务</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1168" w:type="pct"/>
            <w:shd w:val="clear" w:color="auto" w:fill="auto"/>
            <w:noWrap/>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为老人提供法律知识普及和法律咨询服务。</w:t>
            </w:r>
          </w:p>
        </w:tc>
        <w:tc>
          <w:tcPr>
            <w:tcW w:w="322" w:type="pct"/>
            <w:shd w:val="clear" w:color="auto" w:fill="auto"/>
            <w:noWrap/>
            <w:vAlign w:val="center"/>
          </w:tcPr>
          <w:p>
            <w:pPr>
              <w:widowControl/>
              <w:spacing w:line="240" w:lineRule="exac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6" w:type="pct"/>
            <w:gridSpan w:val="4"/>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交通接送服务</w:t>
            </w:r>
          </w:p>
        </w:tc>
        <w:tc>
          <w:tcPr>
            <w:tcW w:w="949"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低偿为有需求的老年人提供交通接送服务，并保证安全。</w:t>
            </w:r>
          </w:p>
        </w:tc>
        <w:tc>
          <w:tcPr>
            <w:tcW w:w="1168"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免费为有需求的老年人提供交通接送服务，并保证安全。</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24" w:type="pct"/>
            <w:vMerge w:val="restart"/>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精神慰藉</w:t>
            </w:r>
          </w:p>
        </w:tc>
        <w:tc>
          <w:tcPr>
            <w:tcW w:w="1165" w:type="pct"/>
            <w:gridSpan w:val="2"/>
            <w:shd w:val="clear" w:color="auto" w:fill="auto"/>
            <w:vAlign w:val="center"/>
          </w:tcPr>
          <w:p>
            <w:pPr>
              <w:widowControl/>
              <w:spacing w:line="240" w:lineRule="exact"/>
              <w:jc w:val="left"/>
              <w:textAlignment w:val="center"/>
              <w:rPr>
                <w:rFonts w:ascii="仿宋" w:eastAsia="仿宋" w:cs="仿宋"/>
                <w:b/>
                <w:bCs/>
                <w:color w:val="auto"/>
                <w:sz w:val="20"/>
                <w:szCs w:val="20"/>
              </w:rPr>
            </w:pPr>
            <w:r>
              <w:rPr>
                <w:rFonts w:hint="eastAsia" w:ascii="仿宋" w:eastAsia="仿宋" w:cs="仿宋"/>
                <w:b/>
                <w:bCs/>
                <w:color w:val="auto"/>
                <w:kern w:val="0"/>
                <w:sz w:val="20"/>
                <w:szCs w:val="20"/>
              </w:rPr>
              <w:t>陪伴服务</w:t>
            </w:r>
          </w:p>
        </w:tc>
        <w:tc>
          <w:tcPr>
            <w:tcW w:w="3039" w:type="pct"/>
            <w:gridSpan w:val="4"/>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低偿为服务对象提供谈心交流、读书读报服务。</w:t>
            </w:r>
          </w:p>
        </w:tc>
        <w:tc>
          <w:tcPr>
            <w:tcW w:w="322" w:type="pct"/>
            <w:shd w:val="clear" w:color="auto" w:fill="auto"/>
            <w:vAlign w:val="center"/>
          </w:tcPr>
          <w:p>
            <w:pPr>
              <w:widowControl/>
              <w:spacing w:line="240" w:lineRule="exact"/>
              <w:jc w:val="center"/>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24" w:type="pct"/>
            <w:vMerge w:val="continue"/>
            <w:shd w:val="clear" w:color="auto" w:fill="auto"/>
            <w:vAlign w:val="center"/>
          </w:tcPr>
          <w:p>
            <w:pPr>
              <w:rPr>
                <w:color w:val="auto"/>
              </w:rPr>
            </w:pPr>
          </w:p>
        </w:tc>
        <w:tc>
          <w:tcPr>
            <w:tcW w:w="1165" w:type="pct"/>
            <w:gridSpan w:val="2"/>
            <w:shd w:val="clear" w:color="auto" w:fill="auto"/>
            <w:vAlign w:val="center"/>
          </w:tcPr>
          <w:p>
            <w:pPr>
              <w:widowControl/>
              <w:spacing w:line="240" w:lineRule="exact"/>
              <w:jc w:val="left"/>
              <w:textAlignment w:val="center"/>
              <w:rPr>
                <w:rFonts w:ascii="仿宋" w:eastAsia="仿宋" w:cs="仿宋"/>
                <w:b/>
                <w:bCs/>
                <w:color w:val="auto"/>
                <w:sz w:val="20"/>
                <w:szCs w:val="20"/>
              </w:rPr>
            </w:pPr>
            <w:r>
              <w:rPr>
                <w:rFonts w:hint="eastAsia" w:ascii="仿宋" w:eastAsia="仿宋" w:cs="仿宋"/>
                <w:b/>
                <w:bCs/>
                <w:color w:val="auto"/>
                <w:kern w:val="0"/>
                <w:sz w:val="20"/>
                <w:szCs w:val="20"/>
              </w:rPr>
              <w:t>专业心理咨询</w:t>
            </w:r>
          </w:p>
        </w:tc>
        <w:tc>
          <w:tcPr>
            <w:tcW w:w="95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1168"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由专业心理咨询师低偿为老年人提供精神慰藉服务，包括沟通、情绪疏导、心理咨询、危机干预。</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224" w:type="pct"/>
            <w:vMerge w:val="continue"/>
            <w:shd w:val="clear" w:color="auto" w:fill="auto"/>
            <w:vAlign w:val="center"/>
          </w:tcPr>
          <w:p>
            <w:pPr>
              <w:rPr>
                <w:color w:val="auto"/>
              </w:rPr>
            </w:pPr>
          </w:p>
        </w:tc>
        <w:tc>
          <w:tcPr>
            <w:tcW w:w="1165" w:type="pct"/>
            <w:gridSpan w:val="2"/>
            <w:shd w:val="clear" w:color="auto" w:fill="auto"/>
            <w:vAlign w:val="center"/>
          </w:tcPr>
          <w:p>
            <w:pPr>
              <w:widowControl/>
              <w:spacing w:line="240" w:lineRule="exact"/>
              <w:jc w:val="left"/>
              <w:textAlignment w:val="center"/>
              <w:rPr>
                <w:rFonts w:ascii="仿宋" w:eastAsia="仿宋" w:cs="仿宋"/>
                <w:b/>
                <w:bCs/>
                <w:color w:val="auto"/>
                <w:sz w:val="20"/>
                <w:szCs w:val="20"/>
              </w:rPr>
            </w:pPr>
            <w:r>
              <w:rPr>
                <w:rFonts w:hint="eastAsia" w:ascii="仿宋" w:eastAsia="仿宋" w:cs="仿宋"/>
                <w:b/>
                <w:bCs/>
                <w:color w:val="auto"/>
                <w:kern w:val="0"/>
                <w:sz w:val="20"/>
                <w:szCs w:val="20"/>
              </w:rPr>
              <w:t>临终关怀</w:t>
            </w:r>
          </w:p>
        </w:tc>
        <w:tc>
          <w:tcPr>
            <w:tcW w:w="95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916"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1168" w:type="pct"/>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对老人进行临终关怀。</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0" w:type="pct"/>
            <w:gridSpan w:val="3"/>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辅具租赁</w:t>
            </w:r>
          </w:p>
        </w:tc>
        <w:tc>
          <w:tcPr>
            <w:tcW w:w="954" w:type="pct"/>
            <w:gridSpan w:val="2"/>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低偿为服务对象提供辅具租赁服务。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vMerge w:val="continue"/>
            <w:shd w:val="clear" w:color="auto" w:fill="auto"/>
            <w:vAlign w:val="center"/>
          </w:tcPr>
          <w:p>
            <w:pPr>
              <w:rPr>
                <w:color w:val="auto"/>
              </w:rPr>
            </w:pPr>
          </w:p>
        </w:tc>
        <w:tc>
          <w:tcPr>
            <w:tcW w:w="1390" w:type="pct"/>
            <w:gridSpan w:val="3"/>
            <w:shd w:val="clear" w:color="auto" w:fill="auto"/>
            <w:vAlign w:val="center"/>
          </w:tcPr>
          <w:p>
            <w:pPr>
              <w:widowControl/>
              <w:spacing w:line="240" w:lineRule="exact"/>
              <w:jc w:val="center"/>
              <w:textAlignment w:val="center"/>
              <w:rPr>
                <w:rFonts w:ascii="仿宋" w:eastAsia="仿宋" w:cs="仿宋"/>
                <w:b/>
                <w:bCs/>
                <w:color w:val="auto"/>
                <w:sz w:val="20"/>
                <w:szCs w:val="20"/>
              </w:rPr>
            </w:pPr>
            <w:r>
              <w:rPr>
                <w:rFonts w:hint="eastAsia" w:ascii="仿宋" w:eastAsia="仿宋" w:cs="仿宋"/>
                <w:b/>
                <w:bCs/>
                <w:color w:val="auto"/>
                <w:kern w:val="0"/>
                <w:sz w:val="20"/>
                <w:szCs w:val="20"/>
              </w:rPr>
              <w:t>无障碍改造服务</w:t>
            </w:r>
          </w:p>
        </w:tc>
        <w:tc>
          <w:tcPr>
            <w:tcW w:w="954" w:type="pct"/>
            <w:gridSpan w:val="2"/>
            <w:shd w:val="clear" w:color="auto" w:fill="auto"/>
            <w:vAlign w:val="center"/>
          </w:tcPr>
          <w:p>
            <w:pPr>
              <w:widowControl/>
              <w:spacing w:line="240" w:lineRule="exact"/>
              <w:textAlignment w:val="center"/>
              <w:rPr>
                <w:rFonts w:ascii="仿宋" w:eastAsia="仿宋" w:cs="仿宋"/>
                <w:color w:val="auto"/>
                <w:sz w:val="20"/>
                <w:szCs w:val="20"/>
              </w:rPr>
            </w:pPr>
            <w:r>
              <w:rPr>
                <w:rFonts w:hint="eastAsia" w:ascii="仿宋" w:eastAsia="仿宋" w:cs="仿宋"/>
                <w:color w:val="auto"/>
                <w:kern w:val="0"/>
                <w:sz w:val="20"/>
                <w:szCs w:val="20"/>
              </w:rPr>
              <w:t>不强制要求</w:t>
            </w:r>
          </w:p>
        </w:tc>
        <w:tc>
          <w:tcPr>
            <w:tcW w:w="2084" w:type="pct"/>
            <w:gridSpan w:val="2"/>
            <w:shd w:val="clear" w:color="auto" w:fill="auto"/>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对有经济能力并有需求的老年人开展无障碍改造有偿服务。</w:t>
            </w:r>
          </w:p>
        </w:tc>
        <w:tc>
          <w:tcPr>
            <w:tcW w:w="322" w:type="pct"/>
            <w:shd w:val="clear" w:color="auto" w:fill="auto"/>
            <w:vAlign w:val="center"/>
          </w:tcPr>
          <w:p>
            <w:pPr>
              <w:widowControl/>
              <w:spacing w:line="240" w:lineRule="exact"/>
              <w:jc w:val="left"/>
              <w:textAlignment w:val="center"/>
              <w:rPr>
                <w:rFonts w:asci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6" w:type="pct"/>
            <w:shd w:val="clear" w:color="auto" w:fill="auto"/>
            <w:vAlign w:val="center"/>
          </w:tcPr>
          <w:p>
            <w:pPr>
              <w:widowControl/>
              <w:spacing w:line="240" w:lineRule="exact"/>
              <w:jc w:val="center"/>
              <w:textAlignment w:val="center"/>
              <w:rPr>
                <w:rFonts w:ascii="仿宋" w:eastAsia="仿宋" w:cs="仿宋"/>
                <w:color w:val="auto"/>
                <w:sz w:val="20"/>
                <w:szCs w:val="20"/>
              </w:rPr>
            </w:pPr>
            <w:r>
              <w:rPr>
                <w:rFonts w:hint="eastAsia" w:ascii="仿宋" w:eastAsia="仿宋" w:cs="仿宋"/>
                <w:color w:val="auto"/>
                <w:kern w:val="0"/>
                <w:sz w:val="20"/>
                <w:szCs w:val="20"/>
              </w:rPr>
              <w:t>必备条件</w:t>
            </w:r>
          </w:p>
        </w:tc>
        <w:tc>
          <w:tcPr>
            <w:tcW w:w="4430" w:type="pct"/>
            <w:gridSpan w:val="7"/>
            <w:shd w:val="clear" w:color="auto" w:fill="auto"/>
            <w:noWrap/>
            <w:vAlign w:val="center"/>
          </w:tcPr>
          <w:p>
            <w:pPr>
              <w:widowControl/>
              <w:spacing w:line="240" w:lineRule="exact"/>
              <w:jc w:val="left"/>
              <w:textAlignment w:val="center"/>
              <w:rPr>
                <w:rFonts w:ascii="仿宋" w:eastAsia="仿宋" w:cs="仿宋"/>
                <w:color w:val="auto"/>
                <w:sz w:val="20"/>
                <w:szCs w:val="20"/>
              </w:rPr>
            </w:pPr>
            <w:r>
              <w:rPr>
                <w:rFonts w:hint="eastAsia" w:ascii="仿宋" w:eastAsia="仿宋" w:cs="仿宋"/>
                <w:color w:val="auto"/>
                <w:kern w:val="0"/>
                <w:sz w:val="20"/>
                <w:szCs w:val="20"/>
              </w:rPr>
              <w:t>申报等级评定前连续2年以上无发生火灾等事故，未发生人员非正常死亡现象。</w:t>
            </w:r>
          </w:p>
        </w:tc>
        <w:tc>
          <w:tcPr>
            <w:tcW w:w="322" w:type="pct"/>
            <w:shd w:val="clear" w:color="auto" w:fill="auto"/>
            <w:noWrap/>
            <w:vAlign w:val="center"/>
          </w:tcPr>
          <w:p>
            <w:pPr>
              <w:widowControl/>
              <w:spacing w:line="240" w:lineRule="exact"/>
              <w:jc w:val="left"/>
              <w:textAlignment w:val="center"/>
              <w:rPr>
                <w:rFonts w:ascii="仿宋" w:eastAsia="仿宋" w:cs="仿宋"/>
                <w:color w:val="auto"/>
                <w:kern w:val="0"/>
                <w:sz w:val="20"/>
                <w:szCs w:val="20"/>
              </w:rPr>
            </w:pPr>
          </w:p>
        </w:tc>
      </w:tr>
    </w:tbl>
    <w:p>
      <w:pPr>
        <w:ind w:firstLine="640" w:firstLineChars="200"/>
        <w:rPr>
          <w:rFonts w:ascii="仿宋" w:eastAsia="仿宋" w:cs="仿宋"/>
          <w:sz w:val="32"/>
          <w:szCs w:val="32"/>
        </w:rPr>
      </w:pPr>
    </w:p>
    <w:p>
      <w:pPr>
        <w:rPr>
          <w:rFonts w:ascii="仿宋" w:eastAsia="仿宋" w:cs="仿宋"/>
          <w:b/>
          <w:bCs/>
          <w:sz w:val="52"/>
          <w:szCs w:val="52"/>
        </w:rPr>
      </w:pPr>
      <w:r>
        <w:rPr>
          <w:rFonts w:hint="eastAsia" w:ascii="仿宋" w:eastAsia="仿宋" w:cs="仿宋"/>
          <w:sz w:val="32"/>
          <w:szCs w:val="32"/>
        </w:rPr>
        <w:br w:type="page"/>
      </w:r>
      <w:bookmarkStart w:id="1" w:name="_Toc31224"/>
    </w:p>
    <w:p>
      <w:pPr>
        <w:outlineLvl w:val="1"/>
        <w:rPr>
          <w:rFonts w:hint="eastAsia" w:ascii="方正黑体简体" w:hAnsi="方正黑体简体" w:eastAsia="方正黑体简体" w:cs="方正黑体简体"/>
          <w:kern w:val="28"/>
          <w:sz w:val="32"/>
          <w:szCs w:val="32"/>
        </w:rPr>
      </w:pPr>
      <w:r>
        <w:rPr>
          <w:rFonts w:hint="eastAsia" w:ascii="方正黑体简体" w:hAnsi="方正黑体简体" w:eastAsia="方正黑体简体" w:cs="方正黑体简体"/>
          <w:kern w:val="28"/>
          <w:sz w:val="32"/>
          <w:szCs w:val="32"/>
        </w:rPr>
        <w:t>附件2</w:t>
      </w:r>
    </w:p>
    <w:p>
      <w:pPr>
        <w:pStyle w:val="2"/>
        <w:rPr>
          <w:rFonts w:hint="eastAsia" w:ascii="方正黑体简体" w:hAnsi="方正黑体简体" w:eastAsia="方正黑体简体" w:cs="方正黑体简体"/>
          <w:kern w:val="28"/>
          <w:sz w:val="32"/>
          <w:szCs w:val="32"/>
        </w:rPr>
      </w:pPr>
    </w:p>
    <w:p>
      <w:pPr>
        <w:pStyle w:val="2"/>
        <w:rPr>
          <w:rFonts w:hint="eastAsia" w:ascii="方正黑体简体" w:hAnsi="方正黑体简体" w:eastAsia="方正黑体简体" w:cs="方正黑体简体"/>
          <w:kern w:val="28"/>
          <w:sz w:val="32"/>
          <w:szCs w:val="32"/>
        </w:rPr>
      </w:pPr>
    </w:p>
    <w:p>
      <w:pPr>
        <w:pStyle w:val="2"/>
        <w:rPr>
          <w:rFonts w:hint="eastAsia" w:ascii="方正黑体简体" w:hAnsi="方正黑体简体" w:eastAsia="方正黑体简体" w:cs="方正黑体简体"/>
          <w:kern w:val="28"/>
          <w:sz w:val="32"/>
          <w:szCs w:val="32"/>
        </w:rPr>
      </w:pPr>
    </w:p>
    <w:p>
      <w:pPr>
        <w:pStyle w:val="2"/>
        <w:rPr>
          <w:rFonts w:hint="eastAsia" w:ascii="方正黑体简体" w:hAnsi="方正黑体简体" w:eastAsia="方正黑体简体" w:cs="方正黑体简体"/>
          <w:kern w:val="28"/>
          <w:sz w:val="32"/>
          <w:szCs w:val="32"/>
        </w:rPr>
      </w:pPr>
    </w:p>
    <w:p>
      <w:pPr>
        <w:jc w:val="center"/>
        <w:outlineLvl w:val="1"/>
        <w:rPr>
          <w:rFonts w:ascii="宋体" w:cs="宋体"/>
          <w:b/>
          <w:bCs/>
          <w:sz w:val="52"/>
          <w:szCs w:val="52"/>
        </w:rPr>
      </w:pPr>
      <w:r>
        <w:rPr>
          <w:rFonts w:hint="eastAsia" w:ascii="宋体" w:cs="宋体"/>
          <w:b/>
          <w:bCs/>
          <w:sz w:val="52"/>
          <w:szCs w:val="52"/>
        </w:rPr>
        <w:t>居家养老服务站等级评估表</w:t>
      </w: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line="800" w:lineRule="exact"/>
        <w:ind w:left="425"/>
        <w:textAlignment w:val="auto"/>
        <w:rPr>
          <w:rFonts w:ascii="仿宋" w:eastAsia="仿宋" w:cs="仿宋"/>
          <w:b/>
          <w:bCs/>
          <w:sz w:val="32"/>
          <w:szCs w:val="32"/>
          <w:u w:val="single"/>
          <w:lang w:eastAsia="zh-CN"/>
        </w:rPr>
      </w:pPr>
      <w:r>
        <w:rPr>
          <w:rFonts w:hint="eastAsia" w:ascii="仿宋" w:eastAsia="仿宋" w:cs="仿宋"/>
          <w:b/>
          <w:bCs/>
          <w:sz w:val="32"/>
          <w:szCs w:val="32"/>
          <w:lang w:eastAsia="zh-CN"/>
        </w:rPr>
        <w:t>评估时间：</w:t>
      </w:r>
    </w:p>
    <w:p>
      <w:pPr>
        <w:pStyle w:val="2"/>
        <w:keepNext w:val="0"/>
        <w:keepLines w:val="0"/>
        <w:pageBreakBefore w:val="0"/>
        <w:widowControl/>
        <w:kinsoku/>
        <w:wordWrap/>
        <w:overflowPunct/>
        <w:topLinePunct w:val="0"/>
        <w:autoSpaceDE/>
        <w:autoSpaceDN/>
        <w:bidi w:val="0"/>
        <w:adjustRightInd/>
        <w:snapToGrid/>
        <w:spacing w:line="800" w:lineRule="exact"/>
        <w:ind w:left="425"/>
        <w:textAlignment w:val="auto"/>
        <w:rPr>
          <w:rFonts w:ascii="仿宋" w:eastAsia="仿宋" w:cs="仿宋"/>
          <w:b/>
          <w:bCs/>
          <w:sz w:val="32"/>
          <w:szCs w:val="32"/>
          <w:lang w:eastAsia="zh-CN"/>
        </w:rPr>
      </w:pPr>
      <w:r>
        <w:rPr>
          <w:rFonts w:ascii="仿宋" w:eastAsia="仿宋" w:cs="仿宋"/>
          <w:b/>
          <w:bCs/>
          <w:sz w:val="32"/>
          <w:szCs w:val="32"/>
          <w:lang w:eastAsia="zh-CN"/>
        </w:rPr>
        <w:t>被</w:t>
      </w:r>
      <w:r>
        <w:rPr>
          <w:rFonts w:hint="eastAsia" w:ascii="仿宋" w:eastAsia="仿宋" w:cs="仿宋"/>
          <w:b/>
          <w:bCs/>
          <w:sz w:val="32"/>
          <w:szCs w:val="32"/>
          <w:lang w:eastAsia="zh-CN"/>
        </w:rPr>
        <w:t>评估单位：</w:t>
      </w:r>
      <w:r>
        <w:rPr>
          <w:rFonts w:hint="eastAsia" w:ascii="仿宋" w:eastAsia="仿宋" w:cs="仿宋"/>
          <w:b/>
          <w:bCs/>
          <w:sz w:val="32"/>
          <w:szCs w:val="32"/>
          <w:lang w:val="en-US" w:eastAsia="zh-CN"/>
        </w:rPr>
        <w:t xml:space="preserve">                </w:t>
      </w:r>
      <w:r>
        <w:rPr>
          <w:rFonts w:hint="eastAsia" w:ascii="仿宋" w:eastAsia="仿宋" w:cs="仿宋"/>
          <w:b/>
          <w:bCs/>
          <w:sz w:val="32"/>
          <w:szCs w:val="32"/>
          <w:lang w:eastAsia="zh-CN"/>
        </w:rPr>
        <w:t>（盖章）</w:t>
      </w:r>
    </w:p>
    <w:p>
      <w:pPr>
        <w:pStyle w:val="2"/>
        <w:keepNext w:val="0"/>
        <w:keepLines w:val="0"/>
        <w:pageBreakBefore w:val="0"/>
        <w:widowControl/>
        <w:kinsoku/>
        <w:wordWrap/>
        <w:overflowPunct/>
        <w:topLinePunct w:val="0"/>
        <w:autoSpaceDE/>
        <w:autoSpaceDN/>
        <w:bidi w:val="0"/>
        <w:adjustRightInd/>
        <w:snapToGrid/>
        <w:spacing w:line="800" w:lineRule="exact"/>
        <w:ind w:left="425"/>
        <w:textAlignment w:val="auto"/>
        <w:rPr>
          <w:rFonts w:ascii="仿宋" w:eastAsia="仿宋" w:cs="仿宋"/>
          <w:b/>
          <w:bCs/>
          <w:sz w:val="32"/>
          <w:szCs w:val="32"/>
          <w:lang w:eastAsia="zh-CN"/>
        </w:rPr>
      </w:pPr>
    </w:p>
    <w:p>
      <w:pPr>
        <w:rPr>
          <w:rFonts w:ascii="仿宋" w:eastAsia="仿宋" w:cs="仿宋"/>
          <w:b/>
          <w:bCs/>
          <w:sz w:val="32"/>
          <w:szCs w:val="32"/>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9"/>
        <w:jc w:val="center"/>
        <w:rPr>
          <w:rFonts w:ascii="仿宋" w:eastAsia="仿宋" w:cs="仿宋"/>
          <w:sz w:val="32"/>
          <w:szCs w:val="32"/>
        </w:rPr>
      </w:pPr>
      <w:r>
        <w:rPr>
          <w:rFonts w:hint="eastAsia" w:ascii="仿宋" w:eastAsia="仿宋" w:cs="仿宋"/>
          <w:b/>
          <w:bCs/>
          <w:sz w:val="52"/>
          <w:szCs w:val="52"/>
        </w:rPr>
        <w:t>评估表说明</w:t>
      </w:r>
    </w:p>
    <w:p>
      <w:pPr>
        <w:pStyle w:val="9"/>
        <w:ind w:firstLine="640" w:firstLineChars="200"/>
        <w:rPr>
          <w:rFonts w:ascii="仿宋" w:eastAsia="仿宋" w:cs="仿宋"/>
          <w:sz w:val="32"/>
          <w:szCs w:val="32"/>
        </w:rPr>
      </w:pPr>
    </w:p>
    <w:p>
      <w:pPr>
        <w:pStyle w:val="9"/>
        <w:ind w:firstLine="640" w:firstLineChars="200"/>
        <w:rPr>
          <w:rFonts w:ascii="仿宋" w:eastAsia="仿宋" w:cs="仿宋"/>
          <w:sz w:val="32"/>
          <w:szCs w:val="32"/>
        </w:rPr>
      </w:pPr>
      <w:r>
        <w:rPr>
          <w:rFonts w:hint="eastAsia" w:ascii="仿宋" w:eastAsia="仿宋" w:cs="仿宋"/>
          <w:sz w:val="32"/>
          <w:szCs w:val="32"/>
        </w:rPr>
        <w:t>居家养老服务站的评定分为三个等级，从低到高依次为三星级、四星级、五星级。级数越高，表示居家养老服务站的综合服务能力越强。居家养老服务站等级评定采用计分制。居家养老服务站等级评定评分细则总分为100分。五星级居家养老服务站评定得分不低于90分，四星级居家养老服务站评定得分不低于80分，三星级居家养老服务站评定得分不低于70分</w:t>
      </w:r>
      <w:r>
        <w:rPr>
          <w:rFonts w:ascii="仿宋" w:eastAsia="仿宋" w:cs="仿宋"/>
          <w:sz w:val="32"/>
          <w:szCs w:val="32"/>
        </w:rPr>
        <w:t>。</w:t>
      </w:r>
    </w:p>
    <w:p>
      <w:pPr>
        <w:rPr>
          <w:rFonts w:ascii="仿宋" w:eastAsia="仿宋" w:cs="仿宋"/>
          <w:b/>
          <w:bCs/>
          <w:sz w:val="32"/>
          <w:szCs w:val="32"/>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pStyle w:val="2"/>
        <w:rPr>
          <w:rFonts w:ascii="仿宋" w:eastAsia="仿宋" w:cs="仿宋"/>
          <w:b/>
          <w:bCs/>
          <w:sz w:val="32"/>
          <w:szCs w:val="32"/>
          <w:lang w:eastAsia="zh-CN"/>
        </w:rPr>
      </w:pPr>
    </w:p>
    <w:p>
      <w:pPr>
        <w:rPr>
          <w:rFonts w:ascii="仿宋" w:eastAsia="仿宋" w:cs="仿宋"/>
          <w:b/>
          <w:bCs/>
          <w:sz w:val="32"/>
          <w:szCs w:val="32"/>
        </w:rPr>
      </w:pPr>
      <w:r>
        <w:rPr>
          <w:rFonts w:hint="eastAsia" w:ascii="仿宋" w:eastAsia="仿宋" w:cs="仿宋"/>
          <w:b/>
          <w:bCs/>
          <w:sz w:val="32"/>
          <w:szCs w:val="32"/>
        </w:rPr>
        <w:br w:type="page"/>
      </w:r>
    </w:p>
    <w:bookmarkEnd w:id="1"/>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541"/>
        <w:gridCol w:w="4935"/>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1296" w:type="pct"/>
            <w:gridSpan w:val="2"/>
            <w:shd w:val="clear" w:color="auto" w:fill="FFFFFF"/>
            <w:vAlign w:val="center"/>
          </w:tcPr>
          <w:p>
            <w:pPr>
              <w:widowControl/>
              <w:spacing w:line="240" w:lineRule="exact"/>
              <w:jc w:val="center"/>
              <w:textAlignment w:val="center"/>
              <w:rPr>
                <w:rStyle w:val="14"/>
                <w:rFonts w:ascii="仿宋" w:eastAsia="仿宋" w:cs="仿宋"/>
                <w:color w:val="auto"/>
              </w:rPr>
            </w:pPr>
            <w:r>
              <w:rPr>
                <w:rStyle w:val="14"/>
                <w:rFonts w:hint="eastAsia" w:ascii="仿宋" w:eastAsia="仿宋" w:cs="仿宋"/>
                <w:color w:val="auto"/>
              </w:rPr>
              <w:t>项目</w:t>
            </w:r>
          </w:p>
        </w:tc>
        <w:tc>
          <w:tcPr>
            <w:tcW w:w="2898" w:type="pct"/>
            <w:shd w:val="clear" w:color="auto" w:fill="FFFFFF"/>
            <w:vAlign w:val="center"/>
          </w:tcPr>
          <w:p>
            <w:pPr>
              <w:widowControl/>
              <w:spacing w:line="240" w:lineRule="exact"/>
              <w:jc w:val="center"/>
              <w:textAlignment w:val="center"/>
              <w:rPr>
                <w:rStyle w:val="14"/>
                <w:rFonts w:ascii="仿宋" w:eastAsia="仿宋" w:cs="仿宋"/>
                <w:color w:val="auto"/>
              </w:rPr>
            </w:pPr>
            <w:r>
              <w:rPr>
                <w:rStyle w:val="14"/>
                <w:rFonts w:hint="eastAsia" w:ascii="仿宋" w:eastAsia="仿宋" w:cs="仿宋"/>
                <w:color w:val="auto"/>
              </w:rPr>
              <w:t>评分内容与要求</w:t>
            </w:r>
          </w:p>
        </w:tc>
        <w:tc>
          <w:tcPr>
            <w:tcW w:w="402" w:type="pct"/>
            <w:shd w:val="clear" w:color="auto" w:fill="FFFFFF"/>
            <w:vAlign w:val="center"/>
          </w:tcPr>
          <w:p>
            <w:pPr>
              <w:widowControl/>
              <w:spacing w:line="240" w:lineRule="exact"/>
              <w:jc w:val="center"/>
              <w:textAlignment w:val="center"/>
              <w:rPr>
                <w:rStyle w:val="14"/>
                <w:rFonts w:ascii="仿宋" w:eastAsia="仿宋" w:cs="仿宋"/>
                <w:color w:val="auto"/>
              </w:rPr>
            </w:pPr>
            <w:r>
              <w:rPr>
                <w:rStyle w:val="14"/>
                <w:rFonts w:hint="eastAsia" w:ascii="仿宋" w:eastAsia="仿宋" w:cs="仿宋"/>
                <w:color w:val="auto"/>
              </w:rPr>
              <w:t>评分</w:t>
            </w:r>
            <w:r>
              <w:rPr>
                <w:rStyle w:val="14"/>
                <w:rFonts w:hint="eastAsia" w:ascii="仿宋" w:eastAsia="仿宋" w:cs="仿宋"/>
                <w:color w:val="auto"/>
              </w:rPr>
              <w:br w:type="textWrapping"/>
            </w:r>
            <w:r>
              <w:rPr>
                <w:rStyle w:val="14"/>
                <w:rFonts w:hint="eastAsia" w:ascii="仿宋" w:eastAsia="仿宋" w:cs="仿宋"/>
                <w:color w:val="auto"/>
              </w:rPr>
              <w:t>标准</w:t>
            </w:r>
          </w:p>
        </w:tc>
        <w:tc>
          <w:tcPr>
            <w:tcW w:w="402" w:type="pct"/>
            <w:shd w:val="clear" w:color="auto" w:fill="FFFFFF"/>
            <w:vAlign w:val="center"/>
          </w:tcPr>
          <w:p>
            <w:pPr>
              <w:widowControl/>
              <w:spacing w:line="240" w:lineRule="exact"/>
              <w:jc w:val="center"/>
              <w:textAlignment w:val="center"/>
              <w:rPr>
                <w:rStyle w:val="14"/>
                <w:rFonts w:ascii="仿宋" w:eastAsia="仿宋" w:cs="仿宋"/>
                <w:color w:val="auto"/>
              </w:rPr>
            </w:pPr>
            <w:r>
              <w:rPr>
                <w:rStyle w:val="14"/>
                <w:rFonts w:hint="eastAsia" w:ascii="仿宋" w:eastAsia="仿宋" w:cs="仿宋"/>
                <w:color w:val="auto"/>
              </w:rPr>
              <w:t>评定</w:t>
            </w:r>
            <w:r>
              <w:rPr>
                <w:rStyle w:val="14"/>
                <w:rFonts w:hint="eastAsia" w:ascii="仿宋" w:eastAsia="仿宋" w:cs="仿宋"/>
                <w:color w:val="auto"/>
              </w:rPr>
              <w:br w:type="textWrapping"/>
            </w:r>
            <w:r>
              <w:rPr>
                <w:rStyle w:val="14"/>
                <w:rFonts w:hint="eastAsia" w:ascii="仿宋" w:eastAsia="仿宋" w:cs="仿宋"/>
                <w:color w:val="auto"/>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位置环境</w:t>
            </w:r>
            <w:r>
              <w:rPr>
                <w:rFonts w:hint="eastAsia" w:ascii="仿宋" w:eastAsia="仿宋" w:cs="仿宋"/>
                <w:color w:val="auto"/>
                <w:kern w:val="0"/>
                <w:szCs w:val="21"/>
              </w:rPr>
              <w:br w:type="textWrapping"/>
            </w:r>
            <w:r>
              <w:rPr>
                <w:rFonts w:hint="eastAsia" w:ascii="仿宋" w:eastAsia="仿宋" w:cs="仿宋"/>
                <w:color w:val="auto"/>
                <w:kern w:val="0"/>
                <w:szCs w:val="21"/>
              </w:rPr>
              <w:t>（15分）</w:t>
            </w: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地理位置</w:t>
            </w:r>
            <w:r>
              <w:rPr>
                <w:rFonts w:hint="eastAsia" w:ascii="仿宋" w:eastAsia="仿宋" w:cs="仿宋"/>
                <w:color w:val="auto"/>
                <w:kern w:val="0"/>
                <w:szCs w:val="21"/>
              </w:rPr>
              <w:br w:type="textWrapping"/>
            </w:r>
            <w:r>
              <w:rPr>
                <w:rFonts w:hint="eastAsia" w:ascii="仿宋" w:eastAsia="仿宋" w:cs="仿宋"/>
                <w:color w:val="auto"/>
                <w:kern w:val="0"/>
                <w:szCs w:val="21"/>
              </w:rPr>
              <w:t>（4分）</w:t>
            </w:r>
          </w:p>
        </w:tc>
        <w:tc>
          <w:tcPr>
            <w:tcW w:w="2898" w:type="pct"/>
            <w:shd w:val="clear" w:color="auto" w:fill="FFFFFF"/>
            <w:vAlign w:val="center"/>
          </w:tcPr>
          <w:p>
            <w:pPr>
              <w:widowControl/>
              <w:spacing w:line="240" w:lineRule="exact"/>
              <w:jc w:val="left"/>
              <w:textAlignment w:val="center"/>
              <w:rPr>
                <w:rStyle w:val="15"/>
                <w:rFonts w:ascii="仿宋" w:eastAsia="仿宋" w:cs="仿宋"/>
                <w:color w:val="auto"/>
                <w:sz w:val="21"/>
                <w:szCs w:val="21"/>
              </w:rPr>
            </w:pPr>
            <w:r>
              <w:rPr>
                <w:rStyle w:val="15"/>
                <w:rFonts w:hint="eastAsia" w:ascii="仿宋" w:eastAsia="仿宋" w:cs="仿宋"/>
                <w:color w:val="auto"/>
                <w:sz w:val="21"/>
                <w:szCs w:val="21"/>
              </w:rPr>
              <w:t>避开大型交叉路口，远离高噪源、污染源及危险品生产储运区大于55分贝不得分。</w:t>
            </w:r>
          </w:p>
        </w:tc>
        <w:tc>
          <w:tcPr>
            <w:tcW w:w="402" w:type="pct"/>
            <w:shd w:val="clear" w:color="auto" w:fill="FFFFFF"/>
            <w:vAlign w:val="center"/>
          </w:tcPr>
          <w:p>
            <w:pPr>
              <w:widowControl/>
              <w:spacing w:line="240" w:lineRule="exact"/>
              <w:jc w:val="center"/>
              <w:textAlignment w:val="center"/>
              <w:rPr>
                <w:rStyle w:val="15"/>
                <w:rFonts w:ascii="仿宋" w:eastAsia="仿宋" w:cs="仿宋"/>
                <w:color w:val="auto"/>
                <w:sz w:val="21"/>
                <w:szCs w:val="21"/>
              </w:rPr>
            </w:pPr>
            <w:r>
              <w:rPr>
                <w:rStyle w:val="15"/>
                <w:rFonts w:hint="eastAsia" w:ascii="仿宋" w:eastAsia="仿宋" w:cs="仿宋"/>
                <w:color w:val="auto"/>
                <w:sz w:val="21"/>
                <w:szCs w:val="21"/>
              </w:rPr>
              <w:t>2</w:t>
            </w:r>
          </w:p>
        </w:tc>
        <w:tc>
          <w:tcPr>
            <w:tcW w:w="402" w:type="pct"/>
            <w:shd w:val="clear" w:color="auto" w:fill="FFFFFF"/>
            <w:vAlign w:val="center"/>
          </w:tcPr>
          <w:p>
            <w:pPr>
              <w:widowControl/>
              <w:spacing w:line="240" w:lineRule="exact"/>
              <w:jc w:val="left"/>
              <w:textAlignment w:val="center"/>
              <w:rPr>
                <w:rStyle w:val="15"/>
                <w:rFonts w:asci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避开自然灾害易发区，综合考虑防火、防震等因素</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周边环境</w:t>
            </w:r>
            <w:r>
              <w:rPr>
                <w:rFonts w:hint="eastAsia" w:ascii="仿宋" w:eastAsia="仿宋" w:cs="仿宋"/>
                <w:color w:val="auto"/>
                <w:kern w:val="0"/>
                <w:szCs w:val="21"/>
              </w:rPr>
              <w:br w:type="textWrapping"/>
            </w:r>
            <w:r>
              <w:rPr>
                <w:rFonts w:hint="eastAsia" w:ascii="仿宋" w:eastAsia="仿宋" w:cs="仿宋"/>
                <w:color w:val="auto"/>
                <w:kern w:val="0"/>
                <w:szCs w:val="21"/>
              </w:rPr>
              <w:t>（3分）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与医疗卫生、文化等农村公共服务设施统筹布局</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位于农村中心村或老年人日常集中活动点等老年人相对集中区</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交通便捷、地形平坦、阳光充足、通风良好、工程和水文条件较好</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公共环境</w:t>
            </w:r>
            <w:r>
              <w:rPr>
                <w:rFonts w:hint="eastAsia" w:ascii="仿宋" w:eastAsia="仿宋" w:cs="仿宋"/>
                <w:color w:val="auto"/>
                <w:kern w:val="0"/>
                <w:szCs w:val="21"/>
              </w:rPr>
              <w:br w:type="textWrapping"/>
            </w:r>
            <w:r>
              <w:rPr>
                <w:rFonts w:hint="eastAsia" w:ascii="仿宋" w:eastAsia="仿宋" w:cs="仿宋"/>
                <w:color w:val="auto"/>
                <w:kern w:val="0"/>
                <w:szCs w:val="21"/>
              </w:rPr>
              <w:t>（3分）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室内场所明亮，空间无异味，室外场所实现硬化、绿化、美化，</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窗户有纱窗或其他防蚊蝇措施，地面整洁、干燥，物品摆放合理。定期消毒有记录，无定期消毒记录0分</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公共区域有明显标示</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管理制度</w:t>
            </w:r>
            <w:r>
              <w:rPr>
                <w:rFonts w:hint="eastAsia" w:ascii="仿宋" w:eastAsia="仿宋" w:cs="仿宋"/>
                <w:color w:val="auto"/>
                <w:kern w:val="0"/>
                <w:szCs w:val="21"/>
              </w:rPr>
              <w:br w:type="textWrapping"/>
            </w:r>
            <w:r>
              <w:rPr>
                <w:rFonts w:hint="eastAsia" w:ascii="仿宋" w:eastAsia="仿宋" w:cs="仿宋"/>
                <w:color w:val="auto"/>
                <w:kern w:val="0"/>
                <w:szCs w:val="21"/>
              </w:rPr>
              <w:t>（5分）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建立服务人员管理制度。有公布管理人员联系方式</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建立财务管理制度。主动接受监督，按时公布经费物资收支情况</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建立卫生管理制度</w:t>
            </w:r>
            <w:r>
              <w:rPr>
                <w:rStyle w:val="15"/>
                <w:rFonts w:ascii="仿宋" w:eastAsia="仿宋" w:cs="仿宋"/>
                <w:color w:val="auto"/>
                <w:sz w:val="21"/>
                <w:szCs w:val="21"/>
              </w:rPr>
              <w:t>。</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Style w:val="15"/>
                <w:rFonts w:hint="eastAsia" w:ascii="仿宋" w:eastAsia="仿宋" w:cs="仿宋"/>
                <w:color w:val="auto"/>
                <w:sz w:val="21"/>
                <w:szCs w:val="21"/>
              </w:rPr>
            </w:pPr>
            <w:r>
              <w:rPr>
                <w:rStyle w:val="15"/>
                <w:rFonts w:hint="eastAsia" w:ascii="仿宋" w:eastAsia="仿宋" w:cs="仿宋"/>
                <w:color w:val="auto"/>
                <w:sz w:val="21"/>
                <w:szCs w:val="21"/>
              </w:rPr>
              <w:t>建立档案管理制度。有长期活动老人花名册</w:t>
            </w:r>
          </w:p>
        </w:tc>
        <w:tc>
          <w:tcPr>
            <w:tcW w:w="402" w:type="pct"/>
            <w:shd w:val="clear" w:color="auto" w:fill="FFFFFF"/>
            <w:vAlign w:val="center"/>
          </w:tcPr>
          <w:p>
            <w:pPr>
              <w:widowControl/>
              <w:spacing w:line="240" w:lineRule="exact"/>
              <w:jc w:val="center"/>
              <w:textAlignment w:val="center"/>
              <w:rPr>
                <w:rFonts w:hint="eastAsia" w:ascii="仿宋" w:eastAsia="仿宋" w:cs="仿宋"/>
                <w:color w:val="auto"/>
                <w:kern w:val="0"/>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建立设施设备使用管理制度。明确功能设施设备使用要求</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管理工作</w:t>
            </w:r>
            <w:r>
              <w:rPr>
                <w:rFonts w:hint="eastAsia" w:ascii="仿宋" w:eastAsia="仿宋" w:cs="仿宋"/>
                <w:color w:val="auto"/>
                <w:kern w:val="0"/>
                <w:szCs w:val="21"/>
              </w:rPr>
              <w:br w:type="textWrapping"/>
            </w:r>
            <w:r>
              <w:rPr>
                <w:rFonts w:hint="eastAsia" w:ascii="仿宋" w:eastAsia="仿宋" w:cs="仿宋"/>
                <w:color w:val="auto"/>
                <w:kern w:val="0"/>
                <w:szCs w:val="21"/>
              </w:rPr>
              <w:t>（10分）</w:t>
            </w: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安全管理</w:t>
            </w:r>
            <w:r>
              <w:rPr>
                <w:rFonts w:hint="eastAsia" w:ascii="仿宋" w:eastAsia="仿宋" w:cs="仿宋"/>
                <w:color w:val="auto"/>
                <w:kern w:val="0"/>
                <w:szCs w:val="21"/>
              </w:rPr>
              <w:br w:type="textWrapping"/>
            </w:r>
            <w:r>
              <w:rPr>
                <w:rFonts w:hint="eastAsia" w:ascii="仿宋" w:eastAsia="仿宋" w:cs="仿宋"/>
                <w:color w:val="auto"/>
                <w:kern w:val="0"/>
                <w:szCs w:val="21"/>
              </w:rPr>
              <w:t>（5分）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一年内应无责任事故发生（不符合此项要求，则自动终止星级评定程序）</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widowControl/>
              <w:spacing w:line="240" w:lineRule="exact"/>
              <w:jc w:val="center"/>
              <w:textAlignment w:val="center"/>
              <w:rPr>
                <w:rFonts w:hint="eastAsia" w:ascii="仿宋" w:eastAsia="仿宋" w:cs="仿宋"/>
                <w:color w:val="auto"/>
                <w:kern w:val="0"/>
                <w:szCs w:val="21"/>
              </w:rPr>
            </w:pPr>
          </w:p>
        </w:tc>
        <w:tc>
          <w:tcPr>
            <w:tcW w:w="905" w:type="pct"/>
            <w:vMerge w:val="continue"/>
            <w:shd w:val="clear" w:color="auto" w:fill="FFFFFF"/>
            <w:vAlign w:val="center"/>
          </w:tcPr>
          <w:p>
            <w:pPr>
              <w:widowControl/>
              <w:spacing w:line="240" w:lineRule="exact"/>
              <w:jc w:val="center"/>
              <w:textAlignment w:val="center"/>
              <w:rPr>
                <w:rFonts w:hint="eastAsia" w:ascii="仿宋" w:eastAsia="仿宋" w:cs="仿宋"/>
                <w:color w:val="auto"/>
                <w:kern w:val="0"/>
                <w:szCs w:val="21"/>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u w:val="none"/>
                <w:lang w:val="en-US" w:eastAsia="zh-CN" w:bidi="ar-SA"/>
              </w:rPr>
            </w:pPr>
            <w:r>
              <w:rPr>
                <w:rStyle w:val="15"/>
                <w:rFonts w:hint="eastAsia" w:ascii="仿宋" w:eastAsia="仿宋" w:cs="仿宋"/>
                <w:color w:val="auto"/>
                <w:sz w:val="21"/>
                <w:szCs w:val="21"/>
              </w:rPr>
              <w:t>建立安全管理制度</w:t>
            </w:r>
            <w:r>
              <w:rPr>
                <w:rStyle w:val="15"/>
                <w:rFonts w:ascii="仿宋" w:eastAsia="仿宋" w:cs="仿宋"/>
                <w:color w:val="auto"/>
                <w:sz w:val="21"/>
                <w:szCs w:val="21"/>
              </w:rPr>
              <w:t>。</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widowControl/>
              <w:spacing w:line="240" w:lineRule="exact"/>
              <w:jc w:val="center"/>
              <w:textAlignment w:val="center"/>
              <w:rPr>
                <w:rFonts w:hint="eastAsia" w:ascii="仿宋" w:eastAsia="仿宋" w:cs="仿宋"/>
                <w:color w:val="auto"/>
                <w:kern w:val="0"/>
                <w:szCs w:val="21"/>
              </w:rPr>
            </w:pPr>
          </w:p>
        </w:tc>
        <w:tc>
          <w:tcPr>
            <w:tcW w:w="905" w:type="pct"/>
            <w:vMerge w:val="continue"/>
            <w:shd w:val="clear" w:color="auto" w:fill="FFFFFF"/>
            <w:vAlign w:val="center"/>
          </w:tcPr>
          <w:p>
            <w:pPr>
              <w:widowControl/>
              <w:spacing w:line="240" w:lineRule="exact"/>
              <w:jc w:val="center"/>
              <w:textAlignment w:val="center"/>
              <w:rPr>
                <w:rFonts w:hint="eastAsia" w:ascii="仿宋" w:eastAsia="仿宋" w:cs="仿宋"/>
                <w:color w:val="auto"/>
                <w:kern w:val="0"/>
                <w:szCs w:val="21"/>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u w:val="none"/>
                <w:lang w:val="en-US" w:eastAsia="zh-CN" w:bidi="ar-SA"/>
              </w:rPr>
            </w:pPr>
            <w:r>
              <w:rPr>
                <w:rStyle w:val="15"/>
                <w:rFonts w:hint="eastAsia" w:ascii="仿宋" w:eastAsia="仿宋" w:cs="仿宋"/>
                <w:color w:val="auto"/>
                <w:sz w:val="21"/>
                <w:szCs w:val="21"/>
              </w:rPr>
              <w:t>有开展防火、用电、食品、卫生等安全检查</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有意外伤害、突发疾病、和火灾的应急预案并组织演练</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有开展安全防护知识培训及应急疏散演练</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安全设施</w:t>
            </w:r>
            <w:r>
              <w:rPr>
                <w:rFonts w:hint="eastAsia" w:ascii="仿宋" w:eastAsia="仿宋" w:cs="仿宋"/>
                <w:color w:val="auto"/>
                <w:kern w:val="0"/>
                <w:szCs w:val="21"/>
              </w:rPr>
              <w:br w:type="textWrapping"/>
            </w:r>
            <w:r>
              <w:rPr>
                <w:rFonts w:hint="eastAsia" w:ascii="仿宋" w:eastAsia="仿宋" w:cs="仿宋"/>
                <w:color w:val="auto"/>
                <w:kern w:val="0"/>
                <w:szCs w:val="21"/>
              </w:rPr>
              <w:t>（5分）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多层建筑有防跌落措施</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主要出入口、坡道、台阶、扶手作无障碍设置</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配齐消防设施设备，确保完好有效</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卫生间配备应急报警器，门锁能双向开启</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设施设备牢固稳定，无尖角、锐边、毛刺</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restart"/>
            <w:shd w:val="clear" w:color="auto" w:fill="FFFFFF"/>
            <w:vAlign w:val="center"/>
          </w:tcPr>
          <w:p>
            <w:pPr>
              <w:rPr>
                <w:rFonts w:hint="default" w:eastAsia="宋体"/>
                <w:color w:val="auto"/>
                <w:lang w:val="en-US" w:eastAsia="zh-CN"/>
              </w:rPr>
            </w:pPr>
            <w:r>
              <w:rPr>
                <w:rFonts w:hint="eastAsia"/>
                <w:color w:val="auto"/>
                <w:lang w:val="en-US" w:eastAsia="zh-CN"/>
              </w:rPr>
              <w:t>等级划分条件（75分）</w:t>
            </w: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kern w:val="0"/>
                <w:szCs w:val="21"/>
              </w:rPr>
            </w:pPr>
            <w:r>
              <w:rPr>
                <w:rFonts w:hint="eastAsia" w:ascii="仿宋" w:eastAsia="仿宋" w:cs="仿宋"/>
                <w:color w:val="auto"/>
                <w:kern w:val="0"/>
                <w:szCs w:val="21"/>
              </w:rPr>
              <w:t>建筑结构</w:t>
            </w:r>
          </w:p>
          <w:p>
            <w:pPr>
              <w:jc w:val="center"/>
              <w:rPr>
                <w:color w:val="auto"/>
              </w:rPr>
            </w:pPr>
            <w:r>
              <w:rPr>
                <w:rFonts w:hint="eastAsia" w:ascii="仿宋" w:eastAsia="仿宋" w:cs="仿宋"/>
                <w:color w:val="auto"/>
                <w:kern w:val="0"/>
                <w:szCs w:val="21"/>
              </w:rPr>
              <w:t>和设施</w:t>
            </w:r>
            <w:r>
              <w:rPr>
                <w:rFonts w:hint="eastAsia" w:ascii="仿宋" w:eastAsia="仿宋" w:cs="仿宋"/>
                <w:color w:val="auto"/>
                <w:kern w:val="0"/>
                <w:szCs w:val="21"/>
              </w:rPr>
              <w:br w:type="textWrapping"/>
            </w:r>
            <w:r>
              <w:rPr>
                <w:rFonts w:hint="eastAsia" w:ascii="仿宋" w:eastAsia="仿宋" w:cs="仿宋"/>
                <w:color w:val="auto"/>
                <w:kern w:val="0"/>
                <w:szCs w:val="21"/>
              </w:rPr>
              <w:t>（20分）</w:t>
            </w: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建筑面积不小于300㎡</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u w:val="none"/>
                <w:lang w:val="en-US" w:eastAsia="zh-CN" w:bidi="ar-SA"/>
              </w:rPr>
            </w:pPr>
            <w:r>
              <w:rPr>
                <w:rStyle w:val="15"/>
                <w:rFonts w:hint="eastAsia" w:ascii="仿宋" w:eastAsia="仿宋" w:cs="仿宋"/>
                <w:color w:val="auto"/>
                <w:sz w:val="21"/>
                <w:szCs w:val="21"/>
              </w:rPr>
              <w:t>建筑面积不小于200㎡</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建筑面积不小于100㎡</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Style w:val="15"/>
                <w:rFonts w:hint="eastAsia" w:ascii="仿宋" w:eastAsia="仿宋" w:cs="仿宋"/>
                <w:color w:val="auto"/>
                <w:sz w:val="21"/>
                <w:szCs w:val="21"/>
              </w:rPr>
            </w:pPr>
            <w:r>
              <w:rPr>
                <w:rStyle w:val="15"/>
                <w:rFonts w:hint="eastAsia" w:ascii="仿宋" w:eastAsia="仿宋" w:cs="仿宋"/>
                <w:color w:val="auto"/>
                <w:sz w:val="21"/>
                <w:szCs w:val="21"/>
              </w:rPr>
              <w:t>内设医疗机构（卫生所）或签约医疗机构，直线距离不大于200m</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内设医疗室或签约医疗机构，直线距离不大于500m</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配备医疗急救箱或签约医疗机构，直线距离不大于800m</w:t>
            </w:r>
          </w:p>
        </w:tc>
        <w:tc>
          <w:tcPr>
            <w:tcW w:w="402" w:type="pct"/>
            <w:shd w:val="clear" w:color="auto" w:fill="FFFFFF"/>
            <w:vAlign w:val="center"/>
          </w:tcPr>
          <w:p>
            <w:pPr>
              <w:widowControl/>
              <w:spacing w:line="240" w:lineRule="exact"/>
              <w:jc w:val="center"/>
              <w:textAlignment w:val="center"/>
              <w:rPr>
                <w:rFonts w:hint="default" w:ascii="仿宋" w:eastAsia="仿宋" w:cs="仿宋"/>
                <w:color w:val="auto"/>
                <w:kern w:val="0"/>
                <w:szCs w:val="21"/>
                <w:lang w:val="en-US"/>
              </w:rPr>
            </w:pPr>
            <w:r>
              <w:rPr>
                <w:rFonts w:hint="default" w:ascii="仿宋" w:eastAsia="仿宋" w:cs="仿宋"/>
                <w:color w:val="auto"/>
                <w:kern w:val="0"/>
                <w:szCs w:val="21"/>
                <w:lang w:val="en-US"/>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配置综合活动室，使用面积不小于80㎡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配置综合活动室，使用面积不小于40㎡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配置独立休息室，使用面积不小于50㎡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配备独立休息室，使用面积不小于25㎡</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restart"/>
            <w:shd w:val="clear" w:color="auto" w:fill="FFFFFF"/>
            <w:vAlign w:val="center"/>
          </w:tcPr>
          <w:p>
            <w:pPr>
              <w:rPr>
                <w:color w:val="auto"/>
              </w:rPr>
            </w:pPr>
            <w:r>
              <w:rPr>
                <w:rFonts w:hint="eastAsia"/>
                <w:color w:val="auto"/>
                <w:lang w:val="en-US" w:eastAsia="zh-CN"/>
              </w:rPr>
              <w:t>等级划分条件（75分）</w:t>
            </w: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kern w:val="0"/>
                <w:szCs w:val="21"/>
              </w:rPr>
            </w:pPr>
            <w:r>
              <w:rPr>
                <w:rFonts w:hint="eastAsia" w:ascii="仿宋" w:eastAsia="仿宋" w:cs="仿宋"/>
                <w:color w:val="auto"/>
                <w:kern w:val="0"/>
                <w:szCs w:val="21"/>
              </w:rPr>
              <w:t>建筑结构</w:t>
            </w:r>
          </w:p>
          <w:p>
            <w:pPr>
              <w:jc w:val="center"/>
              <w:rPr>
                <w:color w:val="auto"/>
              </w:rPr>
            </w:pPr>
            <w:r>
              <w:rPr>
                <w:rFonts w:hint="eastAsia" w:ascii="仿宋" w:eastAsia="仿宋" w:cs="仿宋"/>
                <w:color w:val="auto"/>
                <w:kern w:val="0"/>
                <w:szCs w:val="21"/>
              </w:rPr>
              <w:t>和设施</w:t>
            </w:r>
            <w:r>
              <w:rPr>
                <w:rFonts w:hint="eastAsia" w:ascii="仿宋" w:eastAsia="仿宋" w:cs="仿宋"/>
                <w:color w:val="auto"/>
                <w:kern w:val="0"/>
                <w:szCs w:val="21"/>
              </w:rPr>
              <w:br w:type="textWrapping"/>
            </w:r>
            <w:r>
              <w:rPr>
                <w:rFonts w:hint="eastAsia" w:ascii="仿宋" w:eastAsia="仿宋" w:cs="仿宋"/>
                <w:color w:val="auto"/>
                <w:kern w:val="0"/>
                <w:szCs w:val="21"/>
              </w:rPr>
              <w:t>（20分）</w:t>
            </w: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配备独立休息室，使用面积不小于15㎡</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独立设置备餐间、就餐间，总使用面积不小于50㎡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有就餐区，独立设置备餐间，使用面积不小于25㎡</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有室外活动场所，面积不小于120㎡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有室外活动场所，面积不小于80㎡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有室外活动场所，面积不小于50㎡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独立设置文化活动室，单间使用面积不宜小于10㎡，间数不宜少于3间，可以是书画室、阅读室、电脑室、手工制作室、音像室等</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独立设置文化活动室，使用面积不小于10㎡</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配备与空间相匹配的空调</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配备风扇或其他温度控制设备</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restar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运营质量</w:t>
            </w:r>
            <w:r>
              <w:rPr>
                <w:rFonts w:hint="eastAsia" w:ascii="仿宋" w:eastAsia="仿宋" w:cs="仿宋"/>
                <w:color w:val="auto"/>
                <w:kern w:val="0"/>
                <w:szCs w:val="21"/>
              </w:rPr>
              <w:br w:type="textWrapping"/>
            </w:r>
            <w:r>
              <w:rPr>
                <w:rFonts w:hint="eastAsia" w:ascii="仿宋" w:eastAsia="仿宋" w:cs="仿宋"/>
                <w:color w:val="auto"/>
                <w:kern w:val="0"/>
                <w:szCs w:val="21"/>
              </w:rPr>
              <w:t>（28分）</w:t>
            </w: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年度实际运营不少于250d，每日开放时间不少于6h</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3</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widowControl/>
              <w:spacing w:line="240" w:lineRule="exact"/>
              <w:jc w:val="center"/>
              <w:textAlignment w:val="center"/>
              <w:rPr>
                <w:rFonts w:hint="eastAsia" w:ascii="仿宋" w:eastAsia="仿宋" w:cs="仿宋"/>
                <w:color w:val="auto"/>
                <w:kern w:val="0"/>
                <w:szCs w:val="21"/>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年度实际运营不低于220d，每日开放时间不少于5h</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年度实际运营不低于200d，每日开放时间不少于4h</w:t>
            </w:r>
          </w:p>
        </w:tc>
        <w:tc>
          <w:tcPr>
            <w:tcW w:w="402" w:type="pct"/>
            <w:shd w:val="clear" w:color="auto" w:fill="FFFFFF"/>
            <w:vAlign w:val="center"/>
          </w:tcPr>
          <w:p>
            <w:pPr>
              <w:widowControl/>
              <w:spacing w:line="240" w:lineRule="exact"/>
              <w:jc w:val="center"/>
              <w:textAlignment w:val="center"/>
              <w:rPr>
                <w:rFonts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年度运营经费不少于2万元</w:t>
            </w:r>
          </w:p>
        </w:tc>
        <w:tc>
          <w:tcPr>
            <w:tcW w:w="402" w:type="pct"/>
            <w:shd w:val="clear" w:color="auto" w:fill="FFFFFF"/>
            <w:vAlign w:val="center"/>
          </w:tcPr>
          <w:p>
            <w:pPr>
              <w:widowControl/>
              <w:spacing w:line="240" w:lineRule="exact"/>
              <w:jc w:val="center"/>
              <w:textAlignment w:val="center"/>
              <w:rPr>
                <w:rFonts w:ascii="仿宋" w:hAnsi="Calibri" w:eastAsia="仿宋" w:cs="仿宋"/>
                <w:color w:val="auto"/>
                <w:kern w:val="2"/>
                <w:sz w:val="21"/>
                <w:szCs w:val="21"/>
                <w:lang w:val="en-US" w:eastAsia="zh-CN" w:bidi="ar-SA"/>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年度运营经费不少于1万元</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年度运营经费不少于0.5万元</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管理服务人员不少于2人，其中专职助老员不少于1人，社区（村）党支部有专人负责运营管理工作</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配备专职助老员，社区（村）党支部有专人负责运营管理工作</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设立党员互助小组</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长期志愿服务人员不少于5人，年度开展大型志愿服务活动不少于6次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4</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有长期志愿服务人员，年度开展大型志愿服务活动不少于3次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提供午餐和晚餐，可保障20人同时用餐，所提供饮食符合老年人健康、营养需求</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5</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提供午餐，可保障10人同时用餐，所提供饮食符合老年人健康、营养需求</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开展助老服务，每周不少于2次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开展助老服务，每周不少于1次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开展老年教育与咨询服务，每年举办知识讲座不少于4次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3</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开展老年教育与咨询服务，每年举办知识讲座不少于2次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开展老年教育与咨询服务，每年举办知识讲座不少于1次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开展巡诊体检服务，每月不少于2次</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3</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开展巡诊体检服务，每月不少于1次得1分，每加一次加0.5分，加满为止。</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1" w:type="pct"/>
            <w:vMerge w:val="continue"/>
            <w:tcBorders/>
            <w:shd w:val="clear" w:color="auto" w:fill="FFFFFF"/>
            <w:vAlign w:val="center"/>
          </w:tcPr>
          <w:p>
            <w:pPr>
              <w:rPr>
                <w:color w:val="auto"/>
              </w:rPr>
            </w:pPr>
          </w:p>
        </w:tc>
        <w:tc>
          <w:tcPr>
            <w:tcW w:w="905" w:type="pct"/>
            <w:vMerge w:val="continue"/>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开展巡诊体检服务，每季度不少于1次得0.5分，每加一次加0.25分，加满为止。</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restart"/>
            <w:shd w:val="clear" w:color="auto" w:fill="FFFFFF"/>
            <w:vAlign w:val="center"/>
          </w:tcPr>
          <w:p>
            <w:pPr>
              <w:rPr>
                <w:color w:val="auto"/>
              </w:rPr>
            </w:pPr>
            <w:r>
              <w:rPr>
                <w:rFonts w:hint="eastAsia"/>
                <w:color w:val="auto"/>
                <w:lang w:val="en-US" w:eastAsia="zh-CN"/>
              </w:rPr>
              <w:t>等级划分条件（75分）</w:t>
            </w:r>
          </w:p>
        </w:tc>
        <w:tc>
          <w:tcPr>
            <w:tcW w:w="905" w:type="pct"/>
            <w:vMerge w:val="restart"/>
            <w:shd w:val="clear" w:color="auto" w:fill="FFFFFF"/>
            <w:vAlign w:val="center"/>
          </w:tcPr>
          <w:p>
            <w:pPr>
              <w:widowControl/>
              <w:spacing w:line="240" w:lineRule="exact"/>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rPr>
              <w:t>文娱健身</w:t>
            </w:r>
          </w:p>
          <w:p>
            <w:pPr>
              <w:widowControl/>
              <w:spacing w:line="240" w:lineRule="exact"/>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服务质量</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（14分）</w:t>
            </w:r>
          </w:p>
          <w:p>
            <w:pPr>
              <w:jc w:val="center"/>
              <w:rPr>
                <w:color w:val="auto"/>
              </w:rPr>
            </w:pPr>
            <w:r>
              <w:rPr>
                <w:rFonts w:hint="eastAsia" w:ascii="仿宋_GB2312" w:hAnsi="仿宋_GB2312" w:eastAsia="仿宋_GB2312" w:cs="仿宋_GB2312"/>
                <w:color w:val="auto"/>
                <w:sz w:val="21"/>
                <w:szCs w:val="21"/>
                <w:lang w:eastAsia="zh-CN"/>
              </w:rPr>
              <w:t>设施服务应是适老化建设</w:t>
            </w:r>
          </w:p>
        </w:tc>
        <w:tc>
          <w:tcPr>
            <w:tcW w:w="2898" w:type="pct"/>
            <w:shd w:val="clear" w:color="auto" w:fill="FFFFFF"/>
            <w:vAlign w:val="center"/>
          </w:tcPr>
          <w:p>
            <w:pPr>
              <w:widowControl/>
              <w:spacing w:line="240" w:lineRule="exact"/>
              <w:jc w:val="left"/>
              <w:textAlignment w:val="center"/>
              <w:rPr>
                <w:rFonts w:ascii="仿宋" w:hAnsi="Calibri" w:eastAsia="仿宋" w:cs="仿宋"/>
                <w:color w:val="auto"/>
                <w:kern w:val="2"/>
                <w:sz w:val="21"/>
                <w:szCs w:val="21"/>
                <w:u w:val="none"/>
                <w:lang w:val="en-US" w:eastAsia="zh-CN" w:bidi="ar-SA"/>
              </w:rPr>
            </w:pPr>
            <w:r>
              <w:rPr>
                <w:rStyle w:val="15"/>
                <w:rFonts w:hint="eastAsia" w:ascii="仿宋" w:eastAsia="仿宋" w:cs="仿宋"/>
                <w:color w:val="auto"/>
                <w:sz w:val="21"/>
                <w:szCs w:val="21"/>
              </w:rPr>
              <w:t>棋牌桌不少于4张，棋牌（扑克、象棋、麻将）不少于8副</w:t>
            </w:r>
          </w:p>
        </w:tc>
        <w:tc>
          <w:tcPr>
            <w:tcW w:w="402" w:type="pct"/>
            <w:shd w:val="clear" w:color="auto" w:fill="FFFFFF"/>
            <w:vAlign w:val="center"/>
          </w:tcPr>
          <w:p>
            <w:pPr>
              <w:widowControl/>
              <w:spacing w:line="240" w:lineRule="exact"/>
              <w:jc w:val="center"/>
              <w:textAlignment w:val="center"/>
              <w:rPr>
                <w:rFonts w:ascii="仿宋" w:hAnsi="Calibri" w:eastAsia="仿宋" w:cs="仿宋"/>
                <w:color w:val="auto"/>
                <w:kern w:val="0"/>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棋牌桌不少于2张，棋牌（扑克、象棋、麻将）不少于4副</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配备彩色电视机和网络接收系统，尺寸不小于55in</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配备彩色电视机和网络接收系统，尺寸不小于42in</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配备智力和精细动作训练辅具，种类不少于4类，可以是积木、组合玩具、穿珠辅具、计数辅具、握力器等</w:t>
            </w:r>
          </w:p>
        </w:tc>
        <w:tc>
          <w:tcPr>
            <w:tcW w:w="402" w:type="pct"/>
            <w:shd w:val="clear" w:color="auto" w:fill="FFFFFF"/>
            <w:vAlign w:val="center"/>
          </w:tcPr>
          <w:p>
            <w:pPr>
              <w:widowControl/>
              <w:spacing w:line="240" w:lineRule="exact"/>
              <w:jc w:val="center"/>
              <w:textAlignment w:val="center"/>
              <w:rPr>
                <w:rFonts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配备智力和精细动作训练辅具，可以是积木、穿珠辅具、计数辅具等</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配备电脑不宜少于2台，老年书籍杂志不少于150册，报纸不少于2种</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配备电脑，老年书籍杂志不少于50册</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配备光纤和无线wifi</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配备助视、固定辅具，可以是助视仪、阅读器、书固定夹等</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配备书法、绘画用品，手工制作用品用具</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活动场所有休憩的椅凳</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配备老年健身、保健器材，种类不少于3类，可以是乒乓球桌、台球桌、功率自行车、柔性踏步器、按摩椅等</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配备老年健身、保健器材，可以是台球桌、功率自行车等</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restart"/>
            <w:shd w:val="clear" w:color="auto" w:fill="FFFFFF"/>
            <w:vAlign w:val="center"/>
          </w:tcPr>
          <w:p>
            <w:pPr>
              <w:jc w:val="center"/>
              <w:rPr>
                <w:rFonts w:hint="eastAsia" w:ascii="仿宋" w:eastAsia="仿宋" w:cs="仿宋"/>
                <w:color w:val="auto"/>
                <w:kern w:val="0"/>
                <w:szCs w:val="21"/>
              </w:rPr>
            </w:pPr>
            <w:r>
              <w:rPr>
                <w:rFonts w:hint="eastAsia" w:ascii="仿宋" w:eastAsia="仿宋" w:cs="仿宋"/>
                <w:color w:val="auto"/>
                <w:kern w:val="0"/>
                <w:szCs w:val="21"/>
              </w:rPr>
              <w:t>生活服务</w:t>
            </w:r>
          </w:p>
          <w:p>
            <w:pPr>
              <w:jc w:val="center"/>
              <w:rPr>
                <w:color w:val="auto"/>
              </w:rPr>
            </w:pPr>
            <w:r>
              <w:rPr>
                <w:rFonts w:hint="eastAsia" w:ascii="仿宋" w:eastAsia="仿宋" w:cs="仿宋"/>
                <w:color w:val="auto"/>
                <w:kern w:val="0"/>
                <w:szCs w:val="21"/>
              </w:rPr>
              <w:t>质量</w:t>
            </w:r>
            <w:r>
              <w:rPr>
                <w:rFonts w:hint="eastAsia" w:ascii="仿宋" w:eastAsia="仿宋" w:cs="仿宋"/>
                <w:color w:val="auto"/>
                <w:kern w:val="0"/>
                <w:szCs w:val="21"/>
              </w:rPr>
              <w:br w:type="textWrapping"/>
            </w:r>
            <w:r>
              <w:rPr>
                <w:rFonts w:hint="eastAsia" w:ascii="仿宋" w:eastAsia="仿宋" w:cs="仿宋"/>
                <w:color w:val="auto"/>
                <w:kern w:val="0"/>
                <w:szCs w:val="21"/>
              </w:rPr>
              <w:t>（13分）</w:t>
            </w:r>
          </w:p>
        </w:tc>
        <w:tc>
          <w:tcPr>
            <w:tcW w:w="2898" w:type="pct"/>
            <w:shd w:val="clear" w:color="auto" w:fill="FFFFFF"/>
            <w:vAlign w:val="center"/>
          </w:tcPr>
          <w:p>
            <w:pP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休息位不少于10张（套）</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3</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休息位不少于</w:t>
            </w:r>
            <w:r>
              <w:rPr>
                <w:rStyle w:val="15"/>
                <w:rFonts w:hint="eastAsia" w:ascii="仿宋" w:eastAsia="仿宋" w:cs="仿宋"/>
                <w:color w:val="auto"/>
                <w:sz w:val="21"/>
                <w:szCs w:val="21"/>
                <w:lang w:val="en-US" w:eastAsia="zh-CN"/>
              </w:rPr>
              <w:t>5</w:t>
            </w:r>
            <w:r>
              <w:rPr>
                <w:rStyle w:val="15"/>
                <w:rFonts w:hint="eastAsia" w:ascii="仿宋" w:eastAsia="仿宋" w:cs="仿宋"/>
                <w:color w:val="auto"/>
                <w:sz w:val="21"/>
                <w:szCs w:val="21"/>
              </w:rPr>
              <w:t>张（套）</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lang w:val="en-US" w:eastAsia="zh-CN"/>
              </w:rPr>
              <w:t>2</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休息位不少于</w:t>
            </w:r>
            <w:r>
              <w:rPr>
                <w:rStyle w:val="15"/>
                <w:rFonts w:hint="eastAsia" w:ascii="仿宋" w:eastAsia="仿宋" w:cs="仿宋"/>
                <w:color w:val="auto"/>
                <w:sz w:val="21"/>
                <w:szCs w:val="21"/>
                <w:lang w:val="en-US" w:eastAsia="zh-CN"/>
              </w:rPr>
              <w:t>3</w:t>
            </w:r>
            <w:r>
              <w:rPr>
                <w:rStyle w:val="15"/>
                <w:rFonts w:hint="eastAsia" w:ascii="仿宋" w:eastAsia="仿宋" w:cs="仿宋"/>
                <w:color w:val="auto"/>
                <w:sz w:val="21"/>
                <w:szCs w:val="21"/>
              </w:rPr>
              <w:t>张（套）</w:t>
            </w:r>
          </w:p>
        </w:tc>
        <w:tc>
          <w:tcPr>
            <w:tcW w:w="402" w:type="pct"/>
            <w:shd w:val="clear" w:color="auto" w:fill="FFFFFF"/>
            <w:vAlign w:val="center"/>
          </w:tcPr>
          <w:p>
            <w:pPr>
              <w:widowControl/>
              <w:spacing w:line="240" w:lineRule="exact"/>
              <w:jc w:val="center"/>
              <w:textAlignment w:val="center"/>
              <w:rPr>
                <w:rFonts w:hint="eastAsia" w:ascii="仿宋" w:eastAsia="仿宋" w:cs="仿宋"/>
                <w:color w:val="auto"/>
                <w:szCs w:val="21"/>
                <w:lang w:eastAsia="zh-CN"/>
              </w:rPr>
            </w:pPr>
            <w:r>
              <w:rPr>
                <w:rFonts w:hint="eastAsia" w:ascii="仿宋" w:eastAsia="仿宋" w:cs="仿宋"/>
                <w:color w:val="auto"/>
                <w:kern w:val="0"/>
                <w:szCs w:val="21"/>
                <w:lang w:val="en-US" w:eastAsia="zh-CN"/>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备餐间地面做防滑处理</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配备操作台、洗涤池、安全灶具，排风、排烟设备</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配备冷藏设备、留样柜、饮水供应设备</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配备消毒柜、碗柜、餐具，有洗碗池、厨余垃圾收集用具</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分别设置男女卫生间</w:t>
            </w:r>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设置卫生间</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卫生间配备排气扇，设置便器、洗手盆，蹲式厕位配坐便椅</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Style w:val="15"/>
                <w:rFonts w:hint="eastAsia" w:ascii="仿宋" w:eastAsia="仿宋" w:cs="仿宋"/>
                <w:color w:val="auto"/>
                <w:sz w:val="21"/>
                <w:szCs w:val="21"/>
              </w:rPr>
            </w:pPr>
            <w:r>
              <w:rPr>
                <w:rStyle w:val="15"/>
                <w:rFonts w:hint="eastAsia" w:ascii="仿宋" w:eastAsia="仿宋" w:cs="仿宋"/>
                <w:color w:val="auto"/>
                <w:sz w:val="21"/>
                <w:szCs w:val="21"/>
              </w:rPr>
              <w:t>卫生间有安全扶手，配齐墙面镜、卫生纸、托架、污物桶等必备用品</w:t>
            </w:r>
          </w:p>
        </w:tc>
        <w:tc>
          <w:tcPr>
            <w:tcW w:w="402" w:type="pct"/>
            <w:shd w:val="clear" w:color="auto" w:fill="FFFFFF"/>
            <w:vAlign w:val="center"/>
          </w:tcPr>
          <w:p>
            <w:pPr>
              <w:widowControl/>
              <w:spacing w:line="240" w:lineRule="exact"/>
              <w:jc w:val="center"/>
              <w:textAlignment w:val="center"/>
              <w:rPr>
                <w:rFonts w:hint="eastAsia" w:ascii="仿宋" w:eastAsia="仿宋" w:cs="仿宋"/>
                <w:color w:val="auto"/>
                <w:kern w:val="0"/>
                <w:szCs w:val="21"/>
                <w:lang w:val="en-US" w:eastAsia="zh-CN"/>
              </w:rPr>
            </w:pPr>
            <w:r>
              <w:rPr>
                <w:rFonts w:hint="eastAsia" w:ascii="仿宋" w:eastAsia="仿宋" w:cs="仿宋"/>
                <w:color w:val="auto"/>
                <w:kern w:val="0"/>
                <w:szCs w:val="21"/>
                <w:lang w:val="en-US" w:eastAsia="zh-CN"/>
              </w:rPr>
              <w:t>1</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hint="eastAsia" w:ascii="仿宋" w:hAnsi="Calibri" w:eastAsia="仿宋" w:cs="仿宋"/>
                <w:color w:val="auto"/>
                <w:kern w:val="2"/>
                <w:sz w:val="21"/>
                <w:szCs w:val="21"/>
                <w:lang w:val="en-US" w:eastAsia="zh-CN" w:bidi="ar-SA"/>
              </w:rPr>
            </w:pPr>
            <w:r>
              <w:rPr>
                <w:rStyle w:val="15"/>
                <w:rFonts w:hint="eastAsia" w:ascii="仿宋" w:eastAsia="仿宋" w:cs="仿宋"/>
                <w:color w:val="auto"/>
                <w:sz w:val="21"/>
                <w:szCs w:val="21"/>
              </w:rPr>
              <w:t>配备框式助行器、四脚拐不少于2副，配备拐杖不少于2副</w:t>
            </w:r>
            <w:bookmarkStart w:id="6" w:name="_GoBack"/>
            <w:bookmarkEnd w:id="6"/>
          </w:p>
        </w:tc>
        <w:tc>
          <w:tcPr>
            <w:tcW w:w="402" w:type="pct"/>
            <w:shd w:val="clear" w:color="auto" w:fill="FFFFFF"/>
            <w:vAlign w:val="center"/>
          </w:tcPr>
          <w:p>
            <w:pPr>
              <w:widowControl/>
              <w:spacing w:line="240" w:lineRule="exact"/>
              <w:jc w:val="center"/>
              <w:textAlignment w:val="center"/>
              <w:rPr>
                <w:rFonts w:hint="eastAsia" w:ascii="仿宋" w:hAnsi="Calibri" w:eastAsia="仿宋" w:cs="仿宋"/>
                <w:color w:val="auto"/>
                <w:kern w:val="2"/>
                <w:sz w:val="21"/>
                <w:szCs w:val="21"/>
                <w:lang w:val="en-US" w:eastAsia="zh-CN" w:bidi="ar-SA"/>
              </w:rPr>
            </w:pPr>
            <w:r>
              <w:rPr>
                <w:rFonts w:hint="eastAsia" w:ascii="仿宋" w:eastAsia="仿宋" w:cs="仿宋"/>
                <w:color w:val="auto"/>
                <w:kern w:val="0"/>
                <w:szCs w:val="21"/>
              </w:rPr>
              <w:t>2</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1" w:type="pct"/>
            <w:vMerge w:val="continue"/>
            <w:tcBorders/>
            <w:shd w:val="clear" w:color="auto" w:fill="FFFFFF"/>
            <w:vAlign w:val="center"/>
          </w:tcPr>
          <w:p>
            <w:pPr>
              <w:rPr>
                <w:color w:val="auto"/>
              </w:rPr>
            </w:pPr>
          </w:p>
        </w:tc>
        <w:tc>
          <w:tcPr>
            <w:tcW w:w="905" w:type="pct"/>
            <w:vMerge w:val="continue"/>
            <w:tcBorders/>
            <w:shd w:val="clear" w:color="auto" w:fill="FFFFFF"/>
            <w:vAlign w:val="center"/>
          </w:tcPr>
          <w:p>
            <w:pPr>
              <w:rPr>
                <w:color w:val="auto"/>
              </w:rPr>
            </w:pPr>
          </w:p>
        </w:tc>
        <w:tc>
          <w:tcPr>
            <w:tcW w:w="2898" w:type="pct"/>
            <w:shd w:val="clear" w:color="auto" w:fill="FFFFFF"/>
            <w:vAlign w:val="center"/>
          </w:tcPr>
          <w:p>
            <w:pPr>
              <w:widowControl/>
              <w:spacing w:line="240" w:lineRule="exact"/>
              <w:jc w:val="left"/>
              <w:textAlignment w:val="center"/>
              <w:rPr>
                <w:rFonts w:ascii="仿宋" w:eastAsia="仿宋" w:cs="仿宋"/>
                <w:color w:val="auto"/>
                <w:szCs w:val="21"/>
              </w:rPr>
            </w:pPr>
            <w:r>
              <w:rPr>
                <w:rStyle w:val="15"/>
                <w:rFonts w:hint="eastAsia" w:ascii="仿宋" w:eastAsia="仿宋" w:cs="仿宋"/>
                <w:color w:val="auto"/>
                <w:sz w:val="21"/>
                <w:szCs w:val="21"/>
              </w:rPr>
              <w:t>配备拐杖等助行辅具</w:t>
            </w:r>
          </w:p>
        </w:tc>
        <w:tc>
          <w:tcPr>
            <w:tcW w:w="402" w:type="pct"/>
            <w:shd w:val="clear" w:color="auto" w:fill="FFFFFF"/>
            <w:vAlign w:val="center"/>
          </w:tcPr>
          <w:p>
            <w:pPr>
              <w:widowControl/>
              <w:spacing w:line="240" w:lineRule="exact"/>
              <w:jc w:val="center"/>
              <w:textAlignment w:val="center"/>
              <w:rPr>
                <w:rFonts w:ascii="仿宋" w:eastAsia="仿宋" w:cs="仿宋"/>
                <w:color w:val="auto"/>
                <w:szCs w:val="21"/>
              </w:rPr>
            </w:pPr>
            <w:r>
              <w:rPr>
                <w:rFonts w:hint="eastAsia" w:ascii="仿宋" w:eastAsia="仿宋" w:cs="仿宋"/>
                <w:color w:val="auto"/>
                <w:kern w:val="0"/>
                <w:szCs w:val="21"/>
              </w:rPr>
              <w:t>1</w:t>
            </w:r>
          </w:p>
        </w:tc>
        <w:tc>
          <w:tcPr>
            <w:tcW w:w="402" w:type="pct"/>
            <w:shd w:val="clear" w:color="auto" w:fill="FFFFFF"/>
            <w:vAlign w:val="center"/>
          </w:tcPr>
          <w:p>
            <w:pPr>
              <w:rPr>
                <w:color w:val="auto"/>
              </w:rPr>
            </w:pPr>
          </w:p>
        </w:tc>
      </w:tr>
    </w:tbl>
    <w:p>
      <w:pPr>
        <w:ind w:firstLine="640" w:firstLineChars="200"/>
        <w:rPr>
          <w:rFonts w:ascii="仿宋" w:eastAsia="仿宋" w:cs="仿宋"/>
          <w:sz w:val="32"/>
          <w:szCs w:val="32"/>
        </w:rPr>
      </w:pPr>
      <w:r>
        <w:rPr>
          <w:rFonts w:hint="eastAsia" w:ascii="仿宋" w:eastAsia="仿宋" w:cs="仿宋"/>
          <w:sz w:val="32"/>
          <w:szCs w:val="32"/>
        </w:rPr>
        <w:br w:type="page"/>
      </w:r>
    </w:p>
    <w:p>
      <w:pPr>
        <w:outlineLvl w:val="0"/>
        <w:rPr>
          <w:rFonts w:hint="eastAsia" w:ascii="黑体" w:eastAsia="黑体" w:cs="黑体"/>
          <w:sz w:val="32"/>
          <w:szCs w:val="32"/>
        </w:rPr>
      </w:pPr>
      <w:r>
        <w:rPr>
          <w:rFonts w:hint="eastAsia" w:ascii="黑体" w:eastAsia="黑体" w:cs="黑体"/>
          <w:sz w:val="32"/>
          <w:szCs w:val="32"/>
        </w:rPr>
        <w:t>附件3</w:t>
      </w:r>
    </w:p>
    <w:p>
      <w:pPr>
        <w:pStyle w:val="2"/>
      </w:pPr>
    </w:p>
    <w:p>
      <w:pPr>
        <w:ind w:firstLine="640" w:firstLineChars="200"/>
        <w:jc w:val="center"/>
        <w:outlineLvl w:val="0"/>
        <w:rPr>
          <w:rFonts w:ascii="仿宋" w:eastAsia="仿宋" w:cs="仿宋"/>
          <w:sz w:val="32"/>
          <w:szCs w:val="32"/>
        </w:rPr>
      </w:pPr>
      <w:r>
        <w:rPr>
          <w:rFonts w:hint="eastAsia" w:ascii="黑体" w:eastAsia="黑体" w:cs="黑体"/>
          <w:sz w:val="32"/>
          <w:szCs w:val="32"/>
        </w:rPr>
        <w:t>居家养老服务照料中心实地评估需各单位现场提供的内页资料</w:t>
      </w:r>
    </w:p>
    <w:p>
      <w:pPr>
        <w:pStyle w:val="9"/>
        <w:spacing w:line="560" w:lineRule="exact"/>
        <w:ind w:firstLine="640" w:firstLineChars="200"/>
        <w:rPr>
          <w:rFonts w:ascii="仿宋" w:eastAsia="仿宋" w:cs="仿宋"/>
          <w:sz w:val="32"/>
          <w:szCs w:val="32"/>
        </w:rPr>
      </w:pPr>
      <w:r>
        <w:rPr>
          <w:rFonts w:hint="eastAsia" w:ascii="仿宋" w:eastAsia="仿宋" w:cs="仿宋"/>
          <w:sz w:val="32"/>
          <w:szCs w:val="32"/>
        </w:rPr>
        <w:t>星级居家养老服务照料中心参评机构需提供以下材料以供审阅：</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服务（含护理）人员、社会工作者、厨师、医生、护士、护理员等服务人员的持证情况。</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固定工作人员的聘用合同</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行政管理人员每年接受养老管理培训的记录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专业技术人员每年按要求完成继续教育学习的记录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机构内部每年有开展职业道德、行业规范、技术培训的记录。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财务管理、档案管理、环境卫生、安全保卫等规章制度。</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提供的所有服务项目的工作标准。</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实行岗位责任制度和任期考核制度。</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服务对象服务评估、服务记录（</w:t>
      </w:r>
      <w:r>
        <w:rPr>
          <w:rFonts w:hint="eastAsia" w:ascii="仿宋" w:eastAsia="仿宋" w:cs="仿宋"/>
          <w:b/>
          <w:bCs/>
          <w:sz w:val="32"/>
          <w:szCs w:val="32"/>
        </w:rPr>
        <w:t>台账</w:t>
      </w:r>
      <w:r>
        <w:rPr>
          <w:rFonts w:hint="eastAsia" w:ascii="仿宋" w:eastAsia="仿宋" w:cs="仿宋"/>
          <w:sz w:val="32"/>
          <w:szCs w:val="32"/>
        </w:rPr>
        <w:t>）、服务评价等表格记录的纸质和电子版。</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服务投诉渠道及调解机制。</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召开安全专题会议的记录。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年度安全计划、安全操作规范、签订的安全责任书。</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各种疾病、事故、灾害、消防、公共突发事件处理的应急预案</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自伤、伤人、跌倒、坠床、噎食、误吸、走失、烫伤等事件的应急处理流程和报告制度。</w:t>
      </w:r>
    </w:p>
    <w:p>
      <w:pPr>
        <w:pStyle w:val="9"/>
        <w:numPr>
          <w:ilvl w:val="0"/>
          <w:numId w:val="1"/>
        </w:numPr>
        <w:spacing w:line="560" w:lineRule="exact"/>
        <w:rPr>
          <w:rFonts w:ascii="仿宋" w:eastAsia="仿宋" w:cs="仿宋"/>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5"/>
          <w:cols w:space="425" w:num="1"/>
          <w:docGrid w:type="lines" w:linePitch="312" w:charSpace="0"/>
        </w:sectPr>
      </w:pP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服务对象档案动态管理机制并提供纸质和电子档案。</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疫情常态化防控制度和日常防控备品备料及清单（管理）。</w:t>
      </w:r>
    </w:p>
    <w:p>
      <w:pPr>
        <w:pStyle w:val="9"/>
        <w:spacing w:line="560" w:lineRule="exact"/>
        <w:rPr>
          <w:rFonts w:ascii="仿宋" w:eastAsia="仿宋" w:cs="仿宋"/>
          <w:sz w:val="32"/>
          <w:szCs w:val="32"/>
        </w:rPr>
      </w:pPr>
    </w:p>
    <w:p>
      <w:pPr>
        <w:jc w:val="center"/>
        <w:outlineLvl w:val="0"/>
        <w:rPr>
          <w:rFonts w:ascii="黑体" w:eastAsia="黑体" w:cs="黑体"/>
          <w:sz w:val="32"/>
          <w:szCs w:val="32"/>
        </w:rPr>
      </w:pPr>
      <w:bookmarkStart w:id="2" w:name="_Toc23829"/>
      <w:r>
        <w:rPr>
          <w:rFonts w:hint="eastAsia" w:ascii="黑体" w:eastAsia="黑体" w:cs="黑体"/>
          <w:sz w:val="32"/>
          <w:szCs w:val="32"/>
        </w:rPr>
        <w:t>居家养老服务站</w:t>
      </w:r>
      <w:bookmarkEnd w:id="2"/>
      <w:r>
        <w:rPr>
          <w:rFonts w:hint="eastAsia" w:ascii="黑体" w:eastAsia="黑体" w:cs="黑体"/>
          <w:sz w:val="32"/>
          <w:szCs w:val="32"/>
        </w:rPr>
        <w:t>实地评估需各单位现场提供的</w:t>
      </w:r>
    </w:p>
    <w:p>
      <w:pPr>
        <w:ind w:firstLine="640" w:firstLineChars="200"/>
        <w:jc w:val="center"/>
        <w:outlineLvl w:val="0"/>
        <w:rPr>
          <w:rFonts w:ascii="仿宋" w:eastAsia="仿宋" w:cs="仿宋"/>
          <w:b/>
          <w:bCs/>
          <w:sz w:val="32"/>
          <w:szCs w:val="32"/>
        </w:rPr>
      </w:pPr>
      <w:r>
        <w:rPr>
          <w:rFonts w:hint="eastAsia" w:ascii="黑体" w:eastAsia="黑体" w:cs="黑体"/>
          <w:sz w:val="32"/>
          <w:szCs w:val="32"/>
        </w:rPr>
        <w:t>内页资料</w:t>
      </w:r>
    </w:p>
    <w:p>
      <w:pPr>
        <w:pStyle w:val="9"/>
        <w:spacing w:line="560" w:lineRule="exact"/>
        <w:ind w:firstLine="640" w:firstLineChars="200"/>
        <w:rPr>
          <w:rFonts w:ascii="仿宋" w:eastAsia="仿宋" w:cs="仿宋"/>
          <w:sz w:val="32"/>
          <w:szCs w:val="32"/>
        </w:rPr>
      </w:pPr>
      <w:r>
        <w:rPr>
          <w:rFonts w:hint="eastAsia" w:ascii="仿宋" w:eastAsia="仿宋" w:cs="仿宋"/>
          <w:sz w:val="32"/>
          <w:szCs w:val="32"/>
        </w:rPr>
        <w:t>参评的服务站需提供以下材料以供审阅：</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服务人员管理制度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财务管理制度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卫生管理制度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建立档案管理制度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长期活动老人花名册</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设施设备使用管理制度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安全管理制度</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开展防火、用电、食品、卫生等安全检查</w:t>
      </w:r>
      <w:r>
        <w:rPr>
          <w:rFonts w:ascii="仿宋" w:eastAsia="仿宋" w:cs="仿宋"/>
          <w:sz w:val="32"/>
          <w:szCs w:val="32"/>
        </w:rPr>
        <w:t>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意外伤害、突发疾病、和火灾的应急预案</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开展安全防护知识培训及应急疏散演练</w:t>
      </w:r>
      <w:r>
        <w:rPr>
          <w:rFonts w:ascii="仿宋" w:eastAsia="仿宋" w:cs="仿宋"/>
          <w:sz w:val="32"/>
          <w:szCs w:val="32"/>
        </w:rPr>
        <w:t>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开展助老服务</w:t>
      </w:r>
      <w:r>
        <w:rPr>
          <w:rFonts w:ascii="仿宋" w:eastAsia="仿宋" w:cs="仿宋"/>
          <w:sz w:val="32"/>
          <w:szCs w:val="32"/>
        </w:rPr>
        <w:t>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开展老年教育与咨询服务</w:t>
      </w:r>
      <w:r>
        <w:rPr>
          <w:rFonts w:ascii="仿宋" w:eastAsia="仿宋" w:cs="仿宋"/>
          <w:sz w:val="32"/>
          <w:szCs w:val="32"/>
        </w:rPr>
        <w:t>的记录</w:t>
      </w:r>
      <w:r>
        <w:rPr>
          <w:rFonts w:hint="eastAsia" w:ascii="仿宋" w:eastAsia="仿宋" w:cs="仿宋"/>
          <w:sz w:val="32"/>
          <w:szCs w:val="32"/>
        </w:rPr>
        <w:t>、服务记录（</w:t>
      </w:r>
      <w:r>
        <w:rPr>
          <w:rFonts w:hint="eastAsia" w:ascii="仿宋" w:eastAsia="仿宋" w:cs="仿宋"/>
          <w:b/>
          <w:bCs/>
          <w:sz w:val="32"/>
          <w:szCs w:val="32"/>
        </w:rPr>
        <w:t>台账</w:t>
      </w:r>
      <w:r>
        <w:rPr>
          <w:rFonts w:hint="eastAsia" w:ascii="仿宋" w:eastAsia="仿宋" w:cs="仿宋"/>
          <w:sz w:val="32"/>
          <w:szCs w:val="32"/>
        </w:rPr>
        <w:t>）</w:t>
      </w:r>
      <w:r>
        <w:rPr>
          <w:rFonts w:ascii="仿宋" w:eastAsia="仿宋" w:cs="仿宋"/>
          <w:sz w:val="32"/>
          <w:szCs w:val="32"/>
        </w:rPr>
        <w:t>。</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开展巡诊体检服务</w:t>
      </w:r>
      <w:r>
        <w:rPr>
          <w:rFonts w:ascii="仿宋" w:eastAsia="仿宋" w:cs="仿宋"/>
          <w:sz w:val="32"/>
          <w:szCs w:val="32"/>
        </w:rPr>
        <w:t>的记录。</w:t>
      </w:r>
    </w:p>
    <w:p>
      <w:pPr>
        <w:pStyle w:val="9"/>
        <w:numPr>
          <w:ilvl w:val="0"/>
          <w:numId w:val="1"/>
        </w:numPr>
        <w:spacing w:line="560" w:lineRule="exact"/>
        <w:rPr>
          <w:rFonts w:ascii="仿宋" w:eastAsia="仿宋" w:cs="仿宋"/>
          <w:sz w:val="32"/>
          <w:szCs w:val="32"/>
        </w:rPr>
      </w:pPr>
      <w:r>
        <w:rPr>
          <w:rFonts w:hint="eastAsia" w:ascii="仿宋" w:eastAsia="仿宋" w:cs="仿宋"/>
          <w:sz w:val="32"/>
          <w:szCs w:val="32"/>
        </w:rPr>
        <w:t>疫情常态化防控制度和日常防控备品备料及清单（管理）。</w:t>
      </w:r>
    </w:p>
    <w:p>
      <w:pPr>
        <w:autoSpaceDE w:val="0"/>
        <w:autoSpaceDN w:val="0"/>
        <w:adjustRightInd w:val="0"/>
        <w:spacing w:line="560" w:lineRule="exact"/>
        <w:ind w:firstLine="643" w:firstLineChars="200"/>
        <w:outlineLvl w:val="1"/>
        <w:rPr>
          <w:rFonts w:ascii="仿宋" w:eastAsia="仿宋" w:cs="仿宋"/>
          <w:b/>
          <w:bCs/>
          <w:sz w:val="32"/>
          <w:szCs w:val="32"/>
        </w:rPr>
      </w:pPr>
      <w:bookmarkStart w:id="3" w:name="_Toc31656"/>
      <w:bookmarkStart w:id="4" w:name="_Toc11481"/>
      <w:bookmarkStart w:id="5" w:name="_Toc8422"/>
    </w:p>
    <w:p>
      <w:pPr>
        <w:autoSpaceDE w:val="0"/>
        <w:autoSpaceDN w:val="0"/>
        <w:adjustRightInd w:val="0"/>
        <w:spacing w:line="560" w:lineRule="exact"/>
        <w:ind w:firstLine="643" w:firstLineChars="200"/>
        <w:outlineLvl w:val="1"/>
        <w:rPr>
          <w:rFonts w:ascii="仿宋" w:eastAsia="仿宋" w:cs="仿宋"/>
          <w:b/>
          <w:bCs/>
          <w:sz w:val="32"/>
          <w:szCs w:val="32"/>
        </w:rPr>
      </w:pPr>
    </w:p>
    <w:bookmarkEnd w:id="3"/>
    <w:bookmarkEnd w:id="4"/>
    <w:bookmarkEnd w:id="5"/>
    <w:p>
      <w:pPr>
        <w:autoSpaceDE w:val="0"/>
        <w:autoSpaceDN w:val="0"/>
        <w:adjustRightInd w:val="0"/>
        <w:spacing w:line="560" w:lineRule="exact"/>
        <w:ind w:firstLine="643" w:firstLineChars="200"/>
        <w:outlineLvl w:val="1"/>
        <w:rPr>
          <w:rFonts w:ascii="仿宋" w:eastAsia="仿宋" w:cs="仿宋"/>
          <w:b/>
          <w:bCs/>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rPr>
        <w:t>4</w:t>
      </w:r>
    </w:p>
    <w:p>
      <w:pPr>
        <w:jc w:val="center"/>
        <w:rPr>
          <w:rFonts w:hint="eastAsia" w:ascii="Times New Roman" w:hAnsi="Times New Roman" w:eastAsia="方正仿宋简体" w:cs="Times New Roman"/>
          <w:sz w:val="44"/>
          <w:szCs w:val="32"/>
        </w:rPr>
      </w:pPr>
      <w:r>
        <w:rPr>
          <w:rFonts w:ascii="Times New Roman" w:hAnsi="Times New Roman" w:eastAsia="方正仿宋简体" w:cs="Times New Roman"/>
          <w:sz w:val="44"/>
          <w:szCs w:val="32"/>
        </w:rPr>
        <w:t>鲤城区养老设施参评回执</w:t>
      </w:r>
    </w:p>
    <w:p>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所属街道：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3118"/>
        <w:gridCol w:w="4962"/>
        <w:gridCol w:w="2126"/>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序号</w:t>
            </w:r>
          </w:p>
        </w:tc>
        <w:tc>
          <w:tcPr>
            <w:tcW w:w="3118" w:type="dxa"/>
          </w:tcPr>
          <w:p>
            <w:pPr>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参评设施</w:t>
            </w:r>
          </w:p>
        </w:tc>
        <w:tc>
          <w:tcPr>
            <w:tcW w:w="4962" w:type="dxa"/>
          </w:tcPr>
          <w:p>
            <w:pPr>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地址</w:t>
            </w:r>
          </w:p>
        </w:tc>
        <w:tc>
          <w:tcPr>
            <w:tcW w:w="2126" w:type="dxa"/>
          </w:tcPr>
          <w:p>
            <w:pPr>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联系人</w:t>
            </w:r>
          </w:p>
        </w:tc>
        <w:tc>
          <w:tcPr>
            <w:tcW w:w="2268" w:type="dxa"/>
          </w:tcPr>
          <w:p>
            <w:pPr>
              <w:jc w:val="cente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rPr>
                <w:rFonts w:hint="eastAsia" w:ascii="Times New Roman" w:hAnsi="Times New Roman" w:eastAsia="方正仿宋简体" w:cs="Times New Roman"/>
                <w:sz w:val="32"/>
                <w:szCs w:val="32"/>
              </w:rPr>
            </w:pPr>
          </w:p>
        </w:tc>
        <w:tc>
          <w:tcPr>
            <w:tcW w:w="3118" w:type="dxa"/>
          </w:tcPr>
          <w:p>
            <w:pPr>
              <w:rPr>
                <w:rFonts w:hint="eastAsia" w:ascii="Times New Roman" w:hAnsi="Times New Roman" w:eastAsia="方正仿宋简体" w:cs="Times New Roman"/>
                <w:sz w:val="32"/>
                <w:szCs w:val="32"/>
              </w:rPr>
            </w:pPr>
          </w:p>
        </w:tc>
        <w:tc>
          <w:tcPr>
            <w:tcW w:w="4962" w:type="dxa"/>
          </w:tcPr>
          <w:p>
            <w:pPr>
              <w:rPr>
                <w:rFonts w:hint="eastAsia" w:ascii="Times New Roman" w:hAnsi="Times New Roman" w:eastAsia="方正仿宋简体" w:cs="Times New Roman"/>
                <w:sz w:val="32"/>
                <w:szCs w:val="32"/>
              </w:rPr>
            </w:pPr>
          </w:p>
        </w:tc>
        <w:tc>
          <w:tcPr>
            <w:tcW w:w="2126" w:type="dxa"/>
          </w:tcPr>
          <w:p>
            <w:pPr>
              <w:rPr>
                <w:rFonts w:hint="eastAsia" w:ascii="Times New Roman" w:hAnsi="Times New Roman" w:eastAsia="方正仿宋简体" w:cs="Times New Roman"/>
                <w:sz w:val="32"/>
                <w:szCs w:val="32"/>
              </w:rPr>
            </w:pPr>
          </w:p>
        </w:tc>
        <w:tc>
          <w:tcPr>
            <w:tcW w:w="2268" w:type="dxa"/>
          </w:tcPr>
          <w:p>
            <w:pPr>
              <w:rPr>
                <w:rFonts w:hint="eastAsia" w:ascii="Times New Roman" w:hAnsi="Times New Roman" w:eastAsia="方正仿宋简体" w:cs="Times New Roman"/>
                <w:sz w:val="32"/>
                <w:szCs w:val="32"/>
              </w:rPr>
            </w:pPr>
          </w:p>
        </w:tc>
      </w:tr>
    </w:tbl>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备注：参评设施规范表述为“xx街道养老服务照料中心”、“XX社区居家养老服务站”，请各街道填报并加盖公章于8月23日下午下班前报至区民政局，</w:t>
      </w:r>
      <w:r>
        <w:fldChar w:fldCharType="begin"/>
      </w:r>
      <w:r>
        <w:instrText xml:space="preserve"> HYPERLINK "mailto:电子版同步发送至邮箱lcq22355759@163.com" </w:instrText>
      </w:r>
      <w:r>
        <w:fldChar w:fldCharType="separate"/>
      </w:r>
      <w:r>
        <w:rPr>
          <w:rStyle w:val="8"/>
          <w:rFonts w:hint="eastAsia" w:ascii="Times New Roman" w:hAnsi="Times New Roman" w:eastAsia="方正仿宋简体" w:cs="Times New Roman"/>
          <w:sz w:val="32"/>
          <w:szCs w:val="32"/>
        </w:rPr>
        <w:t>电子版同步发送至邮箱lcq22355759@163.com</w:t>
      </w:r>
      <w:r>
        <w:rPr>
          <w:rStyle w:val="8"/>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w:t>
      </w:r>
    </w:p>
    <w:p>
      <w:pPr>
        <w:pStyle w:val="2"/>
      </w:pPr>
    </w:p>
    <w:sectPr>
      <w:footerReference r:id="rId5" w:type="default"/>
      <w:pgSz w:w="16838" w:h="11906" w:orient="landscape"/>
      <w:pgMar w:top="1474" w:right="1701" w:bottom="1588" w:left="1701" w:header="851" w:footer="992" w:gutter="0"/>
      <w:pgBorders>
        <w:top w:val="none" w:sz="0" w:space="0"/>
        <w:left w:val="none" w:sz="0" w:space="0"/>
        <w:bottom w:val="none" w:sz="0" w:space="0"/>
        <w:right w:val="none" w:sz="0" w:space="0"/>
      </w:pgBorders>
      <w:pgNumType w:fmt="numberInDash" w:start="19"/>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5" o:spid="_x0000_s3075"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3631"/>
    <w:multiLevelType w:val="singleLevel"/>
    <w:tmpl w:val="30BF3631"/>
    <w:lvl w:ilvl="0" w:tentative="0">
      <w:start w:val="1"/>
      <w:numFmt w:val="bullet"/>
      <w:lvlText w:val=""/>
      <w:lvlJc w:val="left"/>
      <w:pPr>
        <w:tabs>
          <w:tab w:val="left" w:pos="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mNzE5MzJkYTFmMjBlMWYzNjdiYzU0OWEwNjgwZjkifQ=="/>
  </w:docVars>
  <w:rsids>
    <w:rsidRoot w:val="00416EA1"/>
    <w:rsid w:val="00252967"/>
    <w:rsid w:val="00416EA1"/>
    <w:rsid w:val="00493E28"/>
    <w:rsid w:val="008E29E4"/>
    <w:rsid w:val="02270D2B"/>
    <w:rsid w:val="11035E01"/>
    <w:rsid w:val="11E93F48"/>
    <w:rsid w:val="1299771C"/>
    <w:rsid w:val="18701B4B"/>
    <w:rsid w:val="1ACD6617"/>
    <w:rsid w:val="1B841CAA"/>
    <w:rsid w:val="1CA473E9"/>
    <w:rsid w:val="28050AAD"/>
    <w:rsid w:val="2B7D43BA"/>
    <w:rsid w:val="31564C38"/>
    <w:rsid w:val="3DEE2FC1"/>
    <w:rsid w:val="3F5B77C9"/>
    <w:rsid w:val="446077EA"/>
    <w:rsid w:val="533267F6"/>
    <w:rsid w:val="53456529"/>
    <w:rsid w:val="5D896553"/>
    <w:rsid w:val="62D52E21"/>
    <w:rsid w:val="641D4CA8"/>
    <w:rsid w:val="6EC76633"/>
    <w:rsid w:val="701B2694"/>
    <w:rsid w:val="72FF004B"/>
    <w:rsid w:val="75535298"/>
    <w:rsid w:val="760843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left="425"/>
      <w:jc w:val="left"/>
    </w:pPr>
    <w:rPr>
      <w:kern w:val="0"/>
      <w:sz w:val="20"/>
      <w:szCs w:val="20"/>
      <w:lang w:eastAsia="en-US"/>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qFormat/>
    <w:uiPriority w:val="0"/>
    <w:rPr>
      <w:color w:val="0563C1" w:themeColor="hyperlink"/>
      <w:u w:val="single"/>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character" w:customStyle="1" w:styleId="10">
    <w:name w:val="font51"/>
    <w:basedOn w:val="7"/>
    <w:qFormat/>
    <w:uiPriority w:val="0"/>
    <w:rPr>
      <w:rFonts w:ascii="仿宋" w:eastAsia="仿宋" w:cs="仿宋"/>
      <w:color w:val="000000"/>
      <w:sz w:val="22"/>
      <w:szCs w:val="22"/>
      <w:u w:val="none"/>
      <w:vertAlign w:val="superscript"/>
    </w:rPr>
  </w:style>
  <w:style w:type="character" w:customStyle="1" w:styleId="11">
    <w:name w:val="font21"/>
    <w:basedOn w:val="7"/>
    <w:qFormat/>
    <w:uiPriority w:val="0"/>
    <w:rPr>
      <w:rFonts w:ascii="仿宋" w:eastAsia="仿宋" w:cs="仿宋"/>
      <w:color w:val="000000"/>
      <w:sz w:val="22"/>
      <w:szCs w:val="22"/>
      <w:u w:val="none"/>
    </w:rPr>
  </w:style>
  <w:style w:type="character" w:customStyle="1" w:styleId="12">
    <w:name w:val="font41"/>
    <w:basedOn w:val="7"/>
    <w:qFormat/>
    <w:uiPriority w:val="0"/>
    <w:rPr>
      <w:rFonts w:ascii="仿宋" w:eastAsia="仿宋" w:cs="仿宋"/>
      <w:color w:val="000000"/>
      <w:sz w:val="22"/>
      <w:szCs w:val="22"/>
      <w:u w:val="none"/>
    </w:rPr>
  </w:style>
  <w:style w:type="character" w:customStyle="1" w:styleId="13">
    <w:name w:val="font31"/>
    <w:basedOn w:val="7"/>
    <w:qFormat/>
    <w:uiPriority w:val="0"/>
    <w:rPr>
      <w:rFonts w:ascii="仿宋" w:eastAsia="仿宋" w:cs="仿宋"/>
      <w:color w:val="000000"/>
      <w:sz w:val="24"/>
      <w:szCs w:val="24"/>
      <w:u w:val="none"/>
    </w:rPr>
  </w:style>
  <w:style w:type="character" w:customStyle="1" w:styleId="14">
    <w:name w:val="font11"/>
    <w:basedOn w:val="7"/>
    <w:qFormat/>
    <w:uiPriority w:val="0"/>
    <w:rPr>
      <w:rFonts w:ascii="宋体" w:eastAsia="宋体" w:cs="宋体"/>
      <w:b/>
      <w:bCs/>
      <w:color w:val="333333"/>
      <w:sz w:val="21"/>
      <w:szCs w:val="21"/>
      <w:u w:val="none"/>
    </w:rPr>
  </w:style>
  <w:style w:type="character" w:customStyle="1" w:styleId="15">
    <w:name w:val="font01"/>
    <w:basedOn w:val="7"/>
    <w:qFormat/>
    <w:uiPriority w:val="0"/>
    <w:rPr>
      <w:rFonts w:ascii="宋体" w:eastAsia="宋体" w:cs="宋体"/>
      <w:color w:val="333333"/>
      <w:sz w:val="20"/>
      <w:szCs w:val="20"/>
      <w:u w:val="none"/>
    </w:rPr>
  </w:style>
  <w:style w:type="character" w:customStyle="1" w:styleId="16">
    <w:name w:val="页眉 Char"/>
    <w:basedOn w:val="7"/>
    <w:link w:val="4"/>
    <w:qFormat/>
    <w:uiPriority w:val="0"/>
    <w:rPr>
      <w:rFonts w:ascii="Calibri" w:hAnsi="Calibri" w:eastAsia="宋体" w:cs="Arial"/>
      <w:kern w:val="2"/>
      <w:sz w:val="18"/>
      <w:szCs w:val="18"/>
    </w:rPr>
  </w:style>
  <w:style w:type="character" w:customStyle="1" w:styleId="17">
    <w:name w:val="页脚 Char"/>
    <w:basedOn w:val="7"/>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1273</Words>
  <Characters>7258</Characters>
  <Lines>60</Lines>
  <Paragraphs>17</Paragraphs>
  <TotalTime>4</TotalTime>
  <ScaleCrop>false</ScaleCrop>
  <LinksUpToDate>false</LinksUpToDate>
  <CharactersWithSpaces>8514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2022-08-16T13:18:00Z</dcterms:created>
  <dc:creator>Administrator</dc:creator>
  <cp:lastModifiedBy>11</cp:lastModifiedBy>
  <dcterms:modified xsi:type="dcterms:W3CDTF">2022-08-19T06:57:52Z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9851E9AB360F448490052FD9F4F396BF</vt:lpwstr>
  </property>
</Properties>
</file>