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宋体" w:hAnsi="宋体" w:eastAsia="方正黑体简体" w:cs="方正黑体简体"/>
        </w:rPr>
      </w:pPr>
      <w:bookmarkStart w:id="0" w:name="_GoBack"/>
      <w:bookmarkEnd w:id="0"/>
      <w:r>
        <w:rPr>
          <w:rFonts w:hint="eastAsia" w:ascii="宋体" w:hAnsi="宋体" w:eastAsia="方正黑体简体" w:cs="方正黑体简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 w:eastAsia="方正小标宋简体"/>
          <w:kern w:val="0"/>
          <w:sz w:val="44"/>
          <w:szCs w:val="44"/>
          <w:lang w:eastAsia="zh-CN"/>
        </w:rPr>
        <w:t>街道办事处承接消防行政执法事项目录清单</w:t>
      </w:r>
    </w:p>
    <w:tbl>
      <w:tblPr>
        <w:tblStyle w:val="8"/>
        <w:tblpPr w:leftFromText="180" w:rightFromText="180" w:vertAnchor="text" w:horzAnchor="page" w:tblpX="1106" w:tblpY="380"/>
        <w:tblOverlap w:val="never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1380"/>
        <w:gridCol w:w="6022"/>
        <w:gridCol w:w="1185"/>
        <w:gridCol w:w="1545"/>
        <w:gridCol w:w="1192"/>
        <w:gridCol w:w="140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6" w:hRule="atLeast"/>
          <w:tblHeader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职权名称</w:t>
            </w:r>
          </w:p>
        </w:tc>
        <w:tc>
          <w:tcPr>
            <w:tcW w:w="60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实施依据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职权类型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原实施主体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承接后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实施主体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省级赋权目录序号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职责边界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5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对占用、堵塞、封闭疏散通道、安全出口或者有其他妨碍安全疏散行为的处罚</w:t>
            </w:r>
          </w:p>
        </w:tc>
        <w:tc>
          <w:tcPr>
            <w:tcW w:w="6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《中华人民共和国消防法》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第二十八条　任何单位、个人不得损坏、挪用或者擅自拆除、停用消防设施、器材，不得埋压、圈占、遮挡消火栓或者占用防火间距，不得占用、堵塞、封闭疏散通道、安全出口、消防车通道。人员密集场所的门窗不得设置影响逃生和灭火救援的障碍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第六十条第一款第三项和第二款 单位违反本法规定，有下列行为之一的，责令改正，处五千元以上五万元以下罚款：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 xml:space="preserve">（三）占用、堵塞、封闭疏散通道、安全出口或者有其他妨碍安全疏散行为的；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个人有前款第二项、第三项、第四项、第五项行为之一的，处警告或者五百元以下罚款。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pacing w:val="-17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Times New Roman" w:hAnsi="Times New Roman" w:eastAsia="方正仿宋简体" w:cs="方正仿宋简体"/>
                <w:spacing w:val="-17"/>
                <w:sz w:val="24"/>
                <w:szCs w:val="24"/>
              </w:rPr>
              <w:t>消防救援大队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办事处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《省级赋权指导目录》第454项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区消防救援大队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负责消防安全重点单位名册内的单位、场所，承接单位负责消防安全重点单位名册以外的辖区单位、场所。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消防安全重点单位名册由消防救援机构按照有关标准确定后公布。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职权名称</w:t>
            </w:r>
          </w:p>
        </w:tc>
        <w:tc>
          <w:tcPr>
            <w:tcW w:w="60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实施依据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职权类型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原实施主体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承接后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实施主体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省级赋权目录序号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职责边界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5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对埋压、圈占、遮挡消火栓的处罚</w:t>
            </w:r>
          </w:p>
        </w:tc>
        <w:tc>
          <w:tcPr>
            <w:tcW w:w="6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《中华人民共和国消防法》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第二十八条　任何单位、个人不得损坏、挪用或者擅自拆除、停用消防设施、器材，不得埋压、圈占、遮挡消火栓或者占用防火间距，不得占用、堵塞、封闭疏散通道、安全出口、消防车通道。人员密集场所的门窗不得设置影响逃生和灭火救援的障碍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第六十条第一款第四项和第二款 单位违反本法规定，有下列行为之一的，责令改正，处五千元以上五万元以下罚款：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 xml:space="preserve">（四）埋压、圈占、遮挡消火栓或者占用防火间距的；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个人有前款第二项、第三项、第四项、第五项行为之一的，处警告或者五百元以下罚款。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17"/>
                <w:sz w:val="24"/>
                <w:szCs w:val="24"/>
                <w:lang w:eastAsia="zh-CN"/>
              </w:rPr>
              <w:t>区消防救援大队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办事处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《省级赋权指导目录》第455项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区消防救援大队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负责消防安全重点单位名册内的单位、场所，承接单位负责消防安全重点单位名册以外的辖区单位、场所。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消防安全重点单位名册由消防救援机构按照有关标准确定后公布。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职权名称</w:t>
            </w:r>
          </w:p>
        </w:tc>
        <w:tc>
          <w:tcPr>
            <w:tcW w:w="60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实施依据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职权类型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原实施主体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承接后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实施主体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省级赋权目录序号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职责边界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1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对占用、堵塞、封闭消防车通道的处罚</w:t>
            </w:r>
          </w:p>
        </w:tc>
        <w:tc>
          <w:tcPr>
            <w:tcW w:w="6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《中华人民共和国消防法》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第二十八条　任何单位、个人不得损坏、挪用或者擅自拆除、停用消防设施、器材，不得埋压、圈占、遮挡消火栓或者占用防火间距，不得占用、堵塞、封闭疏散通道、安全出口、消防车通道。人员密集场所的门窗不得设置影响逃生和灭火救援的障碍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第六十条第一款第五项和第二款 单位违反本法规定，有下列行为之一的，责令改正，处五千元以上五万元以下罚款：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 xml:space="preserve">（五）占用、堵塞、封闭消防车通道，妨碍消防车通行的；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个人有前款第二项、第三项、第四项、第五项行为之一的，处警告或者五百元以下罚款。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Times New Roman" w:hAnsi="Times New Roman" w:eastAsia="方正仿宋简体" w:cs="方正仿宋简体"/>
                <w:spacing w:val="-17"/>
                <w:sz w:val="24"/>
                <w:szCs w:val="24"/>
                <w:lang w:eastAsia="zh-CN"/>
              </w:rPr>
              <w:t>消防救援大队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办事处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《省级赋权指导目录》第456项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区消防救援大队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负责消防安全重点单位名册内的单位、场所，承接单位负责消防安全重点单位名册以外的辖区单位、场所。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消防安全重点单位名册由消防救援机构按照有关标准确定后公布。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职权名称</w:t>
            </w:r>
          </w:p>
        </w:tc>
        <w:tc>
          <w:tcPr>
            <w:tcW w:w="60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实施依据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职权类型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原实施主体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承接后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实施主体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省级赋权目录序号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000000"/>
                <w:sz w:val="24"/>
                <w:szCs w:val="24"/>
              </w:rPr>
              <w:t>职责边界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对在高层民用建筑的公共门厅、疏散走道、楼梯间、安全出口停放电动自行车或者为电动自行车充电拒不改正的处罚</w:t>
            </w:r>
          </w:p>
        </w:tc>
        <w:tc>
          <w:tcPr>
            <w:tcW w:w="60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《高层民用建筑消防安全管理规定》（中华人民共和国应急管理部令第5号）2021年8月1日起开始实施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第三十七条第一款　禁止在高层民用建筑公共门厅、疏散通道、楼梯间、安全出口停放电动自行车或者为电动自行车充电。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......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第四十七条第七项　违反本规定，有下列行为之一的，由消防救援机构责令改正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对经营性单位和个人处2000元以上10000元以下罚款，对非经营性单位和个人处500元以上1000元以下罚款：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......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（七）在高层民用建筑的公共门厅、疏散通道、楼梯间、安全出口停放电动自行车或者为电动自行车充电，拒不改正的。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pacing w:val="-17"/>
                <w:sz w:val="24"/>
                <w:szCs w:val="24"/>
                <w:lang w:eastAsia="zh-CN"/>
              </w:rPr>
              <w:t>区消防救援大队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办事处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《省级赋权指导目录》第466项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区消防救援大队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负责消防安全重点单位名册内的单位、场所，承接单位负责消防安全重点单位名册以外的辖区单位、场所。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消防安全重点单位名册由消防救援机构按照有关标准确定后公布。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67" w:leftChars="0" w:hanging="1067" w:hangingChars="443"/>
        <w:textAlignment w:val="auto"/>
        <w:rPr>
          <w:rFonts w:hint="eastAsia" w:ascii="Times New Roman" w:hAnsi="Times New Roman" w:eastAsia="方正仿宋简体" w:cs="方正仿宋简体"/>
          <w:sz w:val="24"/>
          <w:szCs w:val="24"/>
        </w:rPr>
      </w:pP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</w:rPr>
        <w:t>说明：</w:t>
      </w:r>
      <w:r>
        <w:rPr>
          <w:rFonts w:hint="eastAsia" w:ascii="Times New Roman" w:hAnsi="Times New Roman" w:eastAsia="方正仿宋简体" w:cs="方正仿宋简体"/>
          <w:sz w:val="24"/>
          <w:szCs w:val="24"/>
        </w:rPr>
        <w:t>1．表格中的“职责边界”主要指该事项的</w:t>
      </w:r>
      <w:r>
        <w:rPr>
          <w:rFonts w:hint="eastAsia" w:ascii="Times New Roman" w:hAnsi="Times New Roman" w:eastAsia="方正仿宋简体" w:cs="方正仿宋简体"/>
          <w:sz w:val="24"/>
          <w:szCs w:val="24"/>
          <w:lang w:eastAsia="zh-CN"/>
        </w:rPr>
        <w:t>区消防救援大队</w:t>
      </w:r>
      <w:r>
        <w:rPr>
          <w:rFonts w:hint="eastAsia" w:ascii="Times New Roman" w:hAnsi="Times New Roman" w:eastAsia="方正仿宋简体" w:cs="方正仿宋简体"/>
          <w:sz w:val="24"/>
          <w:szCs w:val="24"/>
        </w:rPr>
        <w:t>和街道的职权划分，可从行政区域、违法程度、违法对象、审批层级等角度予以进一步明确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8" w:leftChars="342" w:hanging="340" w:hangingChars="142"/>
        <w:textAlignment w:val="auto"/>
        <w:rPr>
          <w:rFonts w:hint="eastAsia" w:ascii="Times New Roman" w:hAnsi="Times New Roman" w:eastAsia="方正仿宋简体" w:cs="方正仿宋简体"/>
          <w:sz w:val="24"/>
          <w:szCs w:val="24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简体" w:cs="方正仿宋简体"/>
          <w:sz w:val="24"/>
          <w:szCs w:val="24"/>
        </w:rPr>
        <w:t>2．以上要素原则上应保持相对统一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529" w:leftChars="728"/>
        <w:textAlignment w:val="auto"/>
        <w:rPr>
          <w:rFonts w:ascii="宋体" w:hAnsi="宋体" w:eastAsia="仿宋_GB2312"/>
          <w:szCs w:val="21"/>
        </w:rPr>
      </w:pPr>
    </w:p>
    <w:sectPr>
      <w:pgSz w:w="11906" w:h="16838"/>
      <w:pgMar w:top="192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-27940</wp:posOffset>
              </wp:positionV>
              <wp:extent cx="1037590" cy="16891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7590" cy="168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pt;height:133pt;width:81.7pt;mso-position-horizontal:outside;mso-position-horizontal-relative:margin;z-index:251660288;mso-width-relative:page;mso-height-relative:page;" filled="f" stroked="f" coordsize="21600,21600" o:gfxdata="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ykqB9YAAAAHAQAADwAAAAAAAAABACAAAAAiAAAAZHJzL2Rvd25y&#10;ZXYueG1sUEsBAhQAFAAAAAgAh07iQCOwsgA5AgAAY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zg4OTIwMTkyYmE1YWEzYzk3Y2ZiNjczNzg4OWUifQ=="/>
    <w:docVar w:name="KSO_WPS_MARK_KEY" w:val="c0da380c-6289-489b-a73e-9538d8e73631"/>
  </w:docVars>
  <w:rsids>
    <w:rsidRoot w:val="5BCE43CE"/>
    <w:rsid w:val="04524400"/>
    <w:rsid w:val="09FB2834"/>
    <w:rsid w:val="0D910EF0"/>
    <w:rsid w:val="0DC5407D"/>
    <w:rsid w:val="152B337C"/>
    <w:rsid w:val="15F92154"/>
    <w:rsid w:val="16CF64F7"/>
    <w:rsid w:val="17CA7FA7"/>
    <w:rsid w:val="1C9D58B6"/>
    <w:rsid w:val="1F353332"/>
    <w:rsid w:val="25BC7D61"/>
    <w:rsid w:val="2A881B31"/>
    <w:rsid w:val="2AD716D1"/>
    <w:rsid w:val="30B17B18"/>
    <w:rsid w:val="321D46D0"/>
    <w:rsid w:val="329E51D2"/>
    <w:rsid w:val="34C62452"/>
    <w:rsid w:val="43CC281A"/>
    <w:rsid w:val="473E6AFF"/>
    <w:rsid w:val="4C4D2233"/>
    <w:rsid w:val="54C647DE"/>
    <w:rsid w:val="550F7A2D"/>
    <w:rsid w:val="574252AC"/>
    <w:rsid w:val="5BCE43CE"/>
    <w:rsid w:val="62B4790C"/>
    <w:rsid w:val="64C81E29"/>
    <w:rsid w:val="64CC7622"/>
    <w:rsid w:val="69AFCF82"/>
    <w:rsid w:val="6AB4300C"/>
    <w:rsid w:val="719C16D6"/>
    <w:rsid w:val="725246DB"/>
    <w:rsid w:val="77DBCA9D"/>
    <w:rsid w:val="78616A57"/>
    <w:rsid w:val="78AC47D1"/>
    <w:rsid w:val="7A765096"/>
    <w:rsid w:val="7D167CE1"/>
    <w:rsid w:val="7DD8257F"/>
    <w:rsid w:val="7F3FE782"/>
    <w:rsid w:val="CE5F695B"/>
    <w:rsid w:val="F7F79504"/>
    <w:rsid w:val="FFB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eastAsia="仿宋_GB2312"/>
      <w:sz w:val="32"/>
    </w:rPr>
  </w:style>
  <w:style w:type="paragraph" w:styleId="4">
    <w:name w:val="Normal Indent"/>
    <w:basedOn w:val="1"/>
    <w:autoRedefine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Balloon Text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1.正文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2234</Words>
  <Characters>2320</Characters>
  <Lines>0</Lines>
  <Paragraphs>0</Paragraphs>
  <TotalTime>2</TotalTime>
  <ScaleCrop>false</ScaleCrop>
  <LinksUpToDate>false</LinksUpToDate>
  <CharactersWithSpaces>2351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2023-12-21T02:44:00Z</dcterms:created>
  <dc:creator>nora</dc:creator>
  <cp:lastModifiedBy>颜思晶</cp:lastModifiedBy>
  <cp:lastPrinted>2047-01-25T15:32:00Z</cp:lastPrinted>
  <dcterms:modified xsi:type="dcterms:W3CDTF">2024-02-07T02:07:52Z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F6DEDBF540924EC7A2FCC52C80693C67_13</vt:lpwstr>
  </property>
</Properties>
</file>