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3EF14">
      <w:pPr>
        <w:snapToGrid w:val="0"/>
        <w:spacing w:line="560" w:lineRule="exact"/>
        <w:jc w:val="center"/>
        <w:rPr>
          <w:rFonts w:ascii="Times New Roman" w:eastAsia="黑体"/>
          <w:color w:val="000000"/>
          <w:spacing w:val="8"/>
        </w:rPr>
      </w:pPr>
      <w:bookmarkStart w:id="0" w:name="_Toc48812514"/>
    </w:p>
    <w:p w14:paraId="62BACD3E">
      <w:pPr>
        <w:snapToGrid w:val="0"/>
        <w:spacing w:line="560" w:lineRule="exact"/>
        <w:jc w:val="center"/>
        <w:rPr>
          <w:rFonts w:ascii="Times New Roman" w:hAnsi="Times New Roman" w:eastAsia="方正小标宋简体"/>
          <w:color w:val="000000"/>
          <w:spacing w:val="-6"/>
          <w:sz w:val="44"/>
          <w:szCs w:val="44"/>
        </w:rPr>
      </w:pPr>
    </w:p>
    <w:p w14:paraId="30DD3565">
      <w:pPr>
        <w:widowControl w:val="0"/>
        <w:spacing w:line="600" w:lineRule="exact"/>
        <w:jc w:val="center"/>
        <w:rPr>
          <w:rFonts w:ascii="Times New Roman" w:hAnsi="Times New Roman" w:eastAsia="方正小标宋简体"/>
          <w:color w:val="000000" w:themeColor="text1"/>
          <w:sz w:val="44"/>
          <w:szCs w:val="44"/>
          <w14:textFill>
            <w14:solidFill>
              <w14:schemeClr w14:val="tx1"/>
            </w14:solidFill>
          </w14:textFill>
        </w:rPr>
      </w:pPr>
      <w:r>
        <w:rPr>
          <w:rFonts w:hint="eastAsia" w:ascii="Times New Roman" w:hAnsi="Times New Roman" w:eastAsia="方正小标宋简体"/>
          <w:color w:val="000000" w:themeColor="text1"/>
          <w:sz w:val="44"/>
          <w:szCs w:val="44"/>
          <w14:textFill>
            <w14:solidFill>
              <w14:schemeClr w14:val="tx1"/>
            </w14:solidFill>
          </w14:textFill>
        </w:rPr>
        <w:t>泉州市鲤城区国民经济和社会发展第十四个</w:t>
      </w:r>
    </w:p>
    <w:p w14:paraId="3D8C14DE">
      <w:pPr>
        <w:widowControl w:val="0"/>
        <w:spacing w:line="600" w:lineRule="exact"/>
        <w:jc w:val="center"/>
        <w:rPr>
          <w:rFonts w:ascii="Times New Roman" w:hAnsi="Times New Roman" w:eastAsia="方正小标宋简体"/>
          <w:b/>
          <w:color w:val="000000" w:themeColor="text1"/>
          <w:sz w:val="44"/>
          <w:szCs w:val="44"/>
          <w14:textFill>
            <w14:solidFill>
              <w14:schemeClr w14:val="tx1"/>
            </w14:solidFill>
          </w14:textFill>
        </w:rPr>
      </w:pPr>
      <w:r>
        <w:rPr>
          <w:rFonts w:hint="eastAsia" w:ascii="Times New Roman" w:hAnsi="Times New Roman" w:eastAsia="方正小标宋简体"/>
          <w:color w:val="000000" w:themeColor="text1"/>
          <w:sz w:val="44"/>
          <w:szCs w:val="44"/>
          <w14:textFill>
            <w14:solidFill>
              <w14:schemeClr w14:val="tx1"/>
            </w14:solidFill>
          </w14:textFill>
        </w:rPr>
        <w:t>五年规划和二</w:t>
      </w:r>
      <w:r>
        <w:rPr>
          <w:rFonts w:hint="eastAsia" w:ascii="Times New Roman" w:hAnsi="Times New Roman" w:eastAsia="黑体"/>
          <w:color w:val="000000" w:themeColor="text1"/>
          <w:sz w:val="44"/>
          <w:szCs w:val="44"/>
          <w14:textFill>
            <w14:solidFill>
              <w14:schemeClr w14:val="tx1"/>
            </w14:solidFill>
          </w14:textFill>
        </w:rPr>
        <w:t>〇</w:t>
      </w:r>
      <w:r>
        <w:rPr>
          <w:rFonts w:hint="eastAsia" w:ascii="Times New Roman" w:hAnsi="Times New Roman" w:eastAsia="方正小标宋简体"/>
          <w:color w:val="000000" w:themeColor="text1"/>
          <w:sz w:val="44"/>
          <w:szCs w:val="44"/>
          <w14:textFill>
            <w14:solidFill>
              <w14:schemeClr w14:val="tx1"/>
            </w14:solidFill>
          </w14:textFill>
        </w:rPr>
        <w:t>三五年远景目标纲要</w:t>
      </w:r>
    </w:p>
    <w:p w14:paraId="753FE55D">
      <w:pPr>
        <w:widowControl w:val="0"/>
        <w:spacing w:line="600" w:lineRule="exact"/>
        <w:jc w:val="center"/>
        <w:rPr>
          <w:rFonts w:ascii="Times New Roman" w:hAnsi="Times New Roman" w:eastAsia="楷体_GB2312"/>
          <w:bCs/>
          <w:color w:val="000000" w:themeColor="text1"/>
          <w:sz w:val="30"/>
          <w:szCs w:val="30"/>
          <w14:textFill>
            <w14:solidFill>
              <w14:schemeClr w14:val="tx1"/>
            </w14:solidFill>
          </w14:textFill>
        </w:rPr>
      </w:pPr>
    </w:p>
    <w:p w14:paraId="3A448C60">
      <w:pPr>
        <w:widowControl w:val="0"/>
        <w:spacing w:line="600" w:lineRule="exact"/>
        <w:jc w:val="center"/>
        <w:rPr>
          <w:rFonts w:eastAsia="方正楷体简体"/>
          <w:color w:val="000000" w:themeColor="text1"/>
          <w:sz w:val="32"/>
          <w:szCs w:val="32"/>
          <w14:textFill>
            <w14:solidFill>
              <w14:schemeClr w14:val="tx1"/>
            </w14:solidFill>
          </w14:textFill>
        </w:rPr>
      </w:pPr>
      <w:r>
        <w:rPr>
          <w:rFonts w:hint="eastAsia" w:eastAsia="方正楷体简体"/>
          <w:bCs/>
          <w:color w:val="000000" w:themeColor="text1"/>
          <w:sz w:val="32"/>
          <w:szCs w:val="32"/>
          <w14:textFill>
            <w14:solidFill>
              <w14:schemeClr w14:val="tx1"/>
            </w14:solidFill>
          </w14:textFill>
        </w:rPr>
        <w:t>（</w:t>
      </w:r>
      <w:r>
        <w:rPr>
          <w:rFonts w:eastAsia="方正楷体简体"/>
          <w:bCs/>
          <w:color w:val="000000" w:themeColor="text1"/>
          <w:sz w:val="32"/>
          <w:szCs w:val="32"/>
          <w14:textFill>
            <w14:solidFill>
              <w14:schemeClr w14:val="tx1"/>
            </w14:solidFill>
          </w14:textFill>
        </w:rPr>
        <w:t>2020</w:t>
      </w:r>
      <w:r>
        <w:rPr>
          <w:rFonts w:hint="eastAsia" w:eastAsia="方正楷体简体"/>
          <w:bCs/>
          <w:color w:val="000000" w:themeColor="text1"/>
          <w:sz w:val="32"/>
          <w:szCs w:val="32"/>
          <w14:textFill>
            <w14:solidFill>
              <w14:schemeClr w14:val="tx1"/>
            </w14:solidFill>
          </w14:textFill>
        </w:rPr>
        <w:t>年</w:t>
      </w:r>
      <w:r>
        <w:rPr>
          <w:rFonts w:eastAsia="方正楷体简体"/>
          <w:bCs/>
          <w:color w:val="000000" w:themeColor="text1"/>
          <w:sz w:val="32"/>
          <w:szCs w:val="32"/>
          <w14:textFill>
            <w14:solidFill>
              <w14:schemeClr w14:val="tx1"/>
            </w14:solidFill>
          </w14:textFill>
        </w:rPr>
        <w:t>12</w:t>
      </w:r>
      <w:r>
        <w:rPr>
          <w:rFonts w:hint="eastAsia" w:eastAsia="方正楷体简体"/>
          <w:bCs/>
          <w:color w:val="000000" w:themeColor="text1"/>
          <w:sz w:val="32"/>
          <w:szCs w:val="32"/>
          <w14:textFill>
            <w14:solidFill>
              <w14:schemeClr w14:val="tx1"/>
            </w14:solidFill>
          </w14:textFill>
        </w:rPr>
        <w:t>月</w:t>
      </w:r>
      <w:r>
        <w:rPr>
          <w:rFonts w:eastAsia="方正楷体简体"/>
          <w:bCs/>
          <w:color w:val="000000" w:themeColor="text1"/>
          <w:sz w:val="32"/>
          <w:szCs w:val="32"/>
          <w14:textFill>
            <w14:solidFill>
              <w14:schemeClr w14:val="tx1"/>
            </w14:solidFill>
          </w14:textFill>
        </w:rPr>
        <w:t>29</w:t>
      </w:r>
      <w:r>
        <w:rPr>
          <w:rFonts w:hint="eastAsia" w:eastAsia="方正楷体简体"/>
          <w:bCs/>
          <w:color w:val="000000" w:themeColor="text1"/>
          <w:sz w:val="32"/>
          <w:szCs w:val="32"/>
          <w14:textFill>
            <w14:solidFill>
              <w14:schemeClr w14:val="tx1"/>
            </w14:solidFill>
          </w14:textFill>
        </w:rPr>
        <w:t>日区九届人大五次会议批准）</w:t>
      </w:r>
    </w:p>
    <w:p w14:paraId="46995441">
      <w:pPr>
        <w:widowControl w:val="0"/>
        <w:spacing w:line="600" w:lineRule="exact"/>
        <w:jc w:val="center"/>
        <w:rPr>
          <w:rFonts w:ascii="Times New Roman" w:hAnsi="Times New Roman" w:eastAsia="楷体_GB2312"/>
          <w:bCs/>
          <w:color w:val="000000" w:themeColor="text1"/>
          <w:sz w:val="36"/>
          <w:szCs w:val="32"/>
          <w14:textFill>
            <w14:solidFill>
              <w14:schemeClr w14:val="tx1"/>
            </w14:solidFill>
          </w14:textFill>
        </w:rPr>
      </w:pPr>
    </w:p>
    <w:p w14:paraId="6FE2DA9B">
      <w:pPr>
        <w:widowControl w:val="0"/>
        <w:jc w:val="center"/>
        <w:rPr>
          <w:rFonts w:ascii="Times New Roman" w:hAnsi="Times New Roman" w:eastAsia="楷体_GB2312"/>
          <w:b/>
          <w:color w:val="000000" w:themeColor="text1"/>
          <w:sz w:val="44"/>
          <w:szCs w:val="36"/>
          <w14:textFill>
            <w14:solidFill>
              <w14:schemeClr w14:val="tx1"/>
            </w14:solidFill>
          </w14:textFill>
        </w:rPr>
      </w:pPr>
    </w:p>
    <w:p w14:paraId="10B23D31">
      <w:pPr>
        <w:widowControl w:val="0"/>
        <w:ind w:firstLine="223" w:firstLineChars="62"/>
        <w:jc w:val="center"/>
        <w:rPr>
          <w:rFonts w:ascii="Times New Roman" w:hAnsi="Times New Roman" w:eastAsia="楷体_GB2312"/>
          <w:color w:val="000000" w:themeColor="text1"/>
          <w:sz w:val="36"/>
          <w:szCs w:val="36"/>
          <w14:textFill>
            <w14:solidFill>
              <w14:schemeClr w14:val="tx1"/>
            </w14:solidFill>
          </w14:textFill>
        </w:rPr>
      </w:pPr>
    </w:p>
    <w:p w14:paraId="7C42163C">
      <w:pPr>
        <w:widowControl w:val="0"/>
        <w:ind w:firstLine="223" w:firstLineChars="62"/>
        <w:jc w:val="center"/>
        <w:rPr>
          <w:rFonts w:ascii="Times New Roman" w:hAnsi="Times New Roman" w:eastAsia="楷体_GB2312"/>
          <w:color w:val="000000" w:themeColor="text1"/>
          <w:sz w:val="36"/>
          <w:szCs w:val="36"/>
          <w14:textFill>
            <w14:solidFill>
              <w14:schemeClr w14:val="tx1"/>
            </w14:solidFill>
          </w14:textFill>
        </w:rPr>
      </w:pPr>
    </w:p>
    <w:p w14:paraId="75DADA55">
      <w:pPr>
        <w:widowControl w:val="0"/>
        <w:ind w:firstLine="223" w:firstLineChars="62"/>
        <w:jc w:val="center"/>
        <w:rPr>
          <w:rFonts w:ascii="Times New Roman" w:hAnsi="Times New Roman" w:eastAsia="楷体_GB2312"/>
          <w:color w:val="000000" w:themeColor="text1"/>
          <w:sz w:val="36"/>
          <w:szCs w:val="36"/>
          <w14:textFill>
            <w14:solidFill>
              <w14:schemeClr w14:val="tx1"/>
            </w14:solidFill>
          </w14:textFill>
        </w:rPr>
      </w:pPr>
    </w:p>
    <w:p w14:paraId="354B348A">
      <w:pPr>
        <w:widowControl w:val="0"/>
        <w:ind w:firstLine="223" w:firstLineChars="62"/>
        <w:jc w:val="center"/>
        <w:rPr>
          <w:rFonts w:ascii="Times New Roman" w:hAnsi="Times New Roman" w:eastAsia="楷体_GB2312"/>
          <w:color w:val="000000" w:themeColor="text1"/>
          <w:sz w:val="36"/>
          <w:szCs w:val="36"/>
          <w14:textFill>
            <w14:solidFill>
              <w14:schemeClr w14:val="tx1"/>
            </w14:solidFill>
          </w14:textFill>
        </w:rPr>
      </w:pPr>
    </w:p>
    <w:p w14:paraId="2C8DCF67">
      <w:pPr>
        <w:widowControl w:val="0"/>
        <w:ind w:firstLine="223" w:firstLineChars="62"/>
        <w:jc w:val="center"/>
        <w:rPr>
          <w:rFonts w:ascii="Times New Roman" w:hAnsi="Times New Roman" w:eastAsia="楷体_GB2312"/>
          <w:color w:val="000000" w:themeColor="text1"/>
          <w:sz w:val="36"/>
          <w:szCs w:val="36"/>
          <w14:textFill>
            <w14:solidFill>
              <w14:schemeClr w14:val="tx1"/>
            </w14:solidFill>
          </w14:textFill>
        </w:rPr>
      </w:pPr>
    </w:p>
    <w:p w14:paraId="41AF59A1">
      <w:pPr>
        <w:widowControl w:val="0"/>
        <w:ind w:firstLine="223" w:firstLineChars="62"/>
        <w:jc w:val="center"/>
        <w:rPr>
          <w:rFonts w:ascii="Times New Roman" w:hAnsi="Times New Roman" w:eastAsia="楷体_GB2312"/>
          <w:color w:val="000000" w:themeColor="text1"/>
          <w:sz w:val="36"/>
          <w:szCs w:val="36"/>
          <w14:textFill>
            <w14:solidFill>
              <w14:schemeClr w14:val="tx1"/>
            </w14:solidFill>
          </w14:textFill>
        </w:rPr>
      </w:pPr>
    </w:p>
    <w:p w14:paraId="28D5013F">
      <w:pPr>
        <w:widowControl w:val="0"/>
        <w:ind w:firstLine="223" w:firstLineChars="62"/>
        <w:jc w:val="center"/>
        <w:rPr>
          <w:rFonts w:ascii="Times New Roman" w:hAnsi="Times New Roman" w:eastAsia="楷体_GB2312"/>
          <w:color w:val="000000" w:themeColor="text1"/>
          <w:sz w:val="36"/>
          <w:szCs w:val="36"/>
          <w14:textFill>
            <w14:solidFill>
              <w14:schemeClr w14:val="tx1"/>
            </w14:solidFill>
          </w14:textFill>
        </w:rPr>
      </w:pPr>
    </w:p>
    <w:p w14:paraId="63FF7C16">
      <w:pPr>
        <w:widowControl w:val="0"/>
        <w:ind w:firstLine="223" w:firstLineChars="62"/>
        <w:jc w:val="center"/>
        <w:rPr>
          <w:rFonts w:ascii="Times New Roman" w:hAnsi="Times New Roman" w:eastAsia="楷体_GB2312"/>
          <w:color w:val="000000" w:themeColor="text1"/>
          <w:sz w:val="36"/>
          <w:szCs w:val="36"/>
          <w14:textFill>
            <w14:solidFill>
              <w14:schemeClr w14:val="tx1"/>
            </w14:solidFill>
          </w14:textFill>
        </w:rPr>
      </w:pPr>
    </w:p>
    <w:p w14:paraId="28235AC7">
      <w:pPr>
        <w:widowControl w:val="0"/>
        <w:ind w:firstLine="223" w:firstLineChars="62"/>
        <w:jc w:val="center"/>
        <w:rPr>
          <w:rFonts w:ascii="Times New Roman" w:hAnsi="Times New Roman" w:eastAsia="楷体_GB2312"/>
          <w:color w:val="000000" w:themeColor="text1"/>
          <w:sz w:val="36"/>
          <w:szCs w:val="36"/>
          <w14:textFill>
            <w14:solidFill>
              <w14:schemeClr w14:val="tx1"/>
            </w14:solidFill>
          </w14:textFill>
        </w:rPr>
      </w:pPr>
    </w:p>
    <w:p w14:paraId="2BC9F1D4">
      <w:pPr>
        <w:widowControl w:val="0"/>
        <w:ind w:firstLine="223" w:firstLineChars="62"/>
        <w:jc w:val="center"/>
        <w:rPr>
          <w:rFonts w:ascii="Times New Roman" w:hAnsi="Times New Roman" w:eastAsia="楷体_GB2312"/>
          <w:color w:val="000000" w:themeColor="text1"/>
          <w:sz w:val="36"/>
          <w:szCs w:val="36"/>
          <w14:textFill>
            <w14:solidFill>
              <w14:schemeClr w14:val="tx1"/>
            </w14:solidFill>
          </w14:textFill>
        </w:rPr>
      </w:pPr>
    </w:p>
    <w:p w14:paraId="5DBF8C48">
      <w:pPr>
        <w:widowControl w:val="0"/>
        <w:ind w:firstLine="223" w:firstLineChars="62"/>
        <w:jc w:val="center"/>
        <w:rPr>
          <w:rFonts w:ascii="Times New Roman" w:hAnsi="Times New Roman" w:eastAsia="楷体_GB2312"/>
          <w:color w:val="000000" w:themeColor="text1"/>
          <w:sz w:val="36"/>
          <w:szCs w:val="36"/>
          <w14:textFill>
            <w14:solidFill>
              <w14:schemeClr w14:val="tx1"/>
            </w14:solidFill>
          </w14:textFill>
        </w:rPr>
      </w:pPr>
    </w:p>
    <w:p w14:paraId="5615E38A">
      <w:pPr>
        <w:widowControl w:val="0"/>
        <w:ind w:firstLine="223" w:firstLineChars="62"/>
        <w:jc w:val="center"/>
        <w:rPr>
          <w:rFonts w:ascii="Times New Roman" w:hAnsi="Times New Roman" w:eastAsia="楷体_GB2312"/>
          <w:color w:val="000000" w:themeColor="text1"/>
          <w:sz w:val="36"/>
          <w:szCs w:val="36"/>
          <w14:textFill>
            <w14:solidFill>
              <w14:schemeClr w14:val="tx1"/>
            </w14:solidFill>
          </w14:textFill>
        </w:rPr>
      </w:pPr>
    </w:p>
    <w:p w14:paraId="33D8260F">
      <w:pPr>
        <w:widowControl w:val="0"/>
        <w:ind w:firstLine="223" w:firstLineChars="62"/>
        <w:jc w:val="center"/>
        <w:rPr>
          <w:rFonts w:ascii="Times New Roman" w:hAnsi="Times New Roman" w:eastAsia="楷体_GB2312"/>
          <w:color w:val="000000" w:themeColor="text1"/>
          <w:sz w:val="36"/>
          <w:szCs w:val="36"/>
          <w14:textFill>
            <w14:solidFill>
              <w14:schemeClr w14:val="tx1"/>
            </w14:solidFill>
          </w14:textFill>
        </w:rPr>
      </w:pPr>
    </w:p>
    <w:p w14:paraId="48800E27">
      <w:pPr>
        <w:widowControl w:val="0"/>
        <w:ind w:firstLine="223" w:firstLineChars="62"/>
        <w:jc w:val="center"/>
        <w:rPr>
          <w:rFonts w:ascii="Times New Roman" w:hAnsi="Times New Roman" w:eastAsia="楷体_GB2312"/>
          <w:color w:val="000000" w:themeColor="text1"/>
          <w:sz w:val="36"/>
          <w:szCs w:val="36"/>
          <w14:textFill>
            <w14:solidFill>
              <w14:schemeClr w14:val="tx1"/>
            </w14:solidFill>
          </w14:textFill>
        </w:rPr>
      </w:pPr>
    </w:p>
    <w:p w14:paraId="5B3D5020">
      <w:pPr>
        <w:pStyle w:val="15"/>
        <w:rPr>
          <w:rStyle w:val="38"/>
          <w:rFonts w:eastAsia="方正小标宋简体"/>
          <w:b w:val="0"/>
          <w:sz w:val="44"/>
          <w:szCs w:val="44"/>
        </w:rPr>
      </w:pPr>
      <w:bookmarkStart w:id="1" w:name="_Toc50299459"/>
      <w:bookmarkStart w:id="2" w:name="_Toc54529228"/>
      <w:bookmarkStart w:id="3" w:name="_Toc50898773"/>
      <w:bookmarkStart w:id="4" w:name="_Toc58363721"/>
      <w:bookmarkStart w:id="5" w:name="_Toc50075237"/>
      <w:bookmarkStart w:id="6" w:name="_Toc58497525"/>
    </w:p>
    <w:p w14:paraId="756F50D8"/>
    <w:p w14:paraId="79F38145"/>
    <w:p w14:paraId="30B49CCF"/>
    <w:bookmarkEnd w:id="0"/>
    <w:bookmarkEnd w:id="1"/>
    <w:bookmarkEnd w:id="2"/>
    <w:bookmarkEnd w:id="3"/>
    <w:bookmarkEnd w:id="4"/>
    <w:bookmarkEnd w:id="5"/>
    <w:bookmarkEnd w:id="6"/>
    <w:p w14:paraId="3E831246">
      <w:pPr>
        <w:pStyle w:val="15"/>
        <w:spacing w:line="590" w:lineRule="exact"/>
        <w:jc w:val="center"/>
        <w:rPr>
          <w:rFonts w:ascii="方正小标宋简体" w:eastAsia="方正小标宋简体"/>
          <w:b w:val="0"/>
          <w:sz w:val="44"/>
          <w:szCs w:val="44"/>
        </w:rPr>
      </w:pPr>
      <w:bookmarkStart w:id="7" w:name="OLE_LINK4"/>
      <w:bookmarkStart w:id="8" w:name="OLE_LINK3"/>
      <w:r>
        <w:rPr>
          <w:rFonts w:hint="eastAsia" w:ascii="方正小标宋简体" w:eastAsia="方正小标宋简体"/>
          <w:b w:val="0"/>
          <w:sz w:val="44"/>
          <w:szCs w:val="44"/>
        </w:rPr>
        <w:t>目录</w:t>
      </w:r>
    </w:p>
    <w:p w14:paraId="0E524E97">
      <w:pPr>
        <w:pStyle w:val="15"/>
        <w:spacing w:line="590" w:lineRule="exact"/>
        <w:rPr>
          <w:rFonts w:eastAsia="方正仿宋简体"/>
          <w:b w:val="0"/>
          <w:bCs w:val="0"/>
          <w:caps w:val="0"/>
          <w:sz w:val="24"/>
          <w:szCs w:val="24"/>
        </w:rPr>
      </w:pPr>
    </w:p>
    <w:p w14:paraId="7F202030">
      <w:pPr>
        <w:pStyle w:val="15"/>
        <w:tabs>
          <w:tab w:val="right" w:leader="dot" w:pos="8828"/>
        </w:tabs>
        <w:spacing w:before="0" w:after="0" w:line="590" w:lineRule="exact"/>
        <w:rPr>
          <w:rFonts w:ascii="黑体" w:hAnsi="黑体" w:eastAsia="黑体" w:cstheme="minorBidi"/>
          <w:b w:val="0"/>
          <w:bCs w:val="0"/>
          <w:caps w:val="0"/>
          <w:kern w:val="2"/>
          <w:sz w:val="32"/>
          <w:szCs w:val="32"/>
        </w:rPr>
      </w:pPr>
      <w:r>
        <w:rPr>
          <w:rFonts w:eastAsia="方正仿宋简体"/>
          <w:b w:val="0"/>
          <w:bCs w:val="0"/>
          <w:caps w:val="0"/>
          <w:kern w:val="2"/>
          <w:sz w:val="32"/>
          <w:szCs w:val="32"/>
        </w:rPr>
        <w:fldChar w:fldCharType="begin"/>
      </w:r>
      <w:r>
        <w:rPr>
          <w:rFonts w:eastAsia="方正仿宋简体"/>
          <w:b w:val="0"/>
          <w:bCs w:val="0"/>
          <w:caps w:val="0"/>
          <w:kern w:val="2"/>
          <w:sz w:val="32"/>
          <w:szCs w:val="32"/>
        </w:rPr>
        <w:instrText xml:space="preserve"> TOC \o "2-3" \f \u \t "标题 1,1" </w:instrText>
      </w:r>
      <w:r>
        <w:rPr>
          <w:rFonts w:eastAsia="方正仿宋简体"/>
          <w:b w:val="0"/>
          <w:bCs w:val="0"/>
          <w:caps w:val="0"/>
          <w:kern w:val="2"/>
          <w:sz w:val="32"/>
          <w:szCs w:val="32"/>
        </w:rPr>
        <w:fldChar w:fldCharType="separate"/>
      </w:r>
      <w:r>
        <w:rPr>
          <w:rFonts w:hint="eastAsia" w:ascii="黑体" w:hAnsi="黑体" w:eastAsia="黑体"/>
          <w:b w:val="0"/>
          <w:color w:val="000000" w:themeColor="text1"/>
          <w:sz w:val="32"/>
          <w:szCs w:val="32"/>
          <w14:textFill>
            <w14:solidFill>
              <w14:schemeClr w14:val="tx1"/>
            </w14:solidFill>
          </w14:textFill>
        </w:rPr>
        <w:t>第一章</w:t>
      </w:r>
      <w:r>
        <w:rPr>
          <w:rFonts w:ascii="黑体" w:hAnsi="黑体" w:eastAsia="黑体"/>
          <w:b w:val="0"/>
          <w:color w:val="000000" w:themeColor="text1"/>
          <w:sz w:val="32"/>
          <w:szCs w:val="32"/>
          <w14:textFill>
            <w14:solidFill>
              <w14:schemeClr w14:val="tx1"/>
            </w14:solidFill>
          </w14:textFill>
        </w:rPr>
        <w:t xml:space="preserve"> </w:t>
      </w:r>
      <w:r>
        <w:rPr>
          <w:rFonts w:hint="eastAsia" w:ascii="黑体" w:hAnsi="黑体" w:eastAsia="黑体"/>
          <w:b w:val="0"/>
          <w:color w:val="000000" w:themeColor="text1"/>
          <w:sz w:val="32"/>
          <w:szCs w:val="32"/>
          <w14:textFill>
            <w14:solidFill>
              <w14:schemeClr w14:val="tx1"/>
            </w14:solidFill>
          </w14:textFill>
        </w:rPr>
        <w:t>规划基础与发展环境</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_Toc74035483 \h </w:instrText>
      </w:r>
      <w:r>
        <w:rPr>
          <w:rFonts w:ascii="黑体" w:hAnsi="黑体" w:eastAsia="黑体"/>
          <w:sz w:val="32"/>
          <w:szCs w:val="32"/>
        </w:rPr>
        <w:fldChar w:fldCharType="separate"/>
      </w:r>
      <w:r>
        <w:rPr>
          <w:rFonts w:ascii="黑体" w:hAnsi="黑体" w:eastAsia="黑体"/>
          <w:sz w:val="32"/>
          <w:szCs w:val="32"/>
        </w:rPr>
        <w:t>6</w:t>
      </w:r>
      <w:r>
        <w:rPr>
          <w:rFonts w:ascii="黑体" w:hAnsi="黑体" w:eastAsia="黑体"/>
          <w:sz w:val="32"/>
          <w:szCs w:val="32"/>
        </w:rPr>
        <w:fldChar w:fldCharType="end"/>
      </w:r>
    </w:p>
    <w:p w14:paraId="45431904">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第一节 “十三五”时期经济社会发展回顾</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_Toc74035484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7</w:t>
      </w:r>
      <w:r>
        <w:rPr>
          <w:rFonts w:ascii="Times New Roman" w:hAnsi="Times New Roman" w:eastAsia="方正仿宋简体" w:cs="Times New Roman"/>
          <w:sz w:val="32"/>
          <w:szCs w:val="32"/>
        </w:rPr>
        <w:fldChar w:fldCharType="end"/>
      </w:r>
    </w:p>
    <w:p w14:paraId="79DE915B">
      <w:pPr>
        <w:pStyle w:val="19"/>
        <w:tabs>
          <w:tab w:val="right" w:leader="dot" w:pos="8828"/>
        </w:tabs>
        <w:spacing w:line="590" w:lineRule="exact"/>
        <w:rPr>
          <w:rFonts w:hAnsiTheme="minorHAnsi" w:eastAsiaTheme="minorEastAsia" w:cstheme="minorBidi"/>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第二节 发展环境</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_Toc74035485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14</w:t>
      </w:r>
      <w:r>
        <w:rPr>
          <w:rFonts w:ascii="Times New Roman" w:hAnsi="Times New Roman" w:eastAsia="方正仿宋简体" w:cs="Times New Roman"/>
          <w:sz w:val="32"/>
          <w:szCs w:val="32"/>
        </w:rPr>
        <w:fldChar w:fldCharType="end"/>
      </w:r>
    </w:p>
    <w:p w14:paraId="183AA678">
      <w:pPr>
        <w:pStyle w:val="15"/>
        <w:tabs>
          <w:tab w:val="right" w:leader="dot" w:pos="8828"/>
        </w:tabs>
        <w:spacing w:before="0" w:after="0" w:line="590" w:lineRule="exact"/>
        <w:rPr>
          <w:rFonts w:hAnsiTheme="minorHAnsi" w:eastAsiaTheme="minorEastAsia" w:cstheme="minorBidi"/>
          <w:b w:val="0"/>
          <w:bCs w:val="0"/>
          <w:caps w:val="0"/>
          <w:kern w:val="2"/>
          <w:sz w:val="32"/>
          <w:szCs w:val="32"/>
        </w:rPr>
      </w:pPr>
      <w:r>
        <w:rPr>
          <w:rFonts w:hint="eastAsia" w:ascii="黑体" w:hAnsi="黑体" w:eastAsia="黑体"/>
          <w:b w:val="0"/>
          <w:color w:val="000000" w:themeColor="text1"/>
          <w:sz w:val="32"/>
          <w:szCs w:val="32"/>
          <w14:textFill>
            <w14:solidFill>
              <w14:schemeClr w14:val="tx1"/>
            </w14:solidFill>
          </w14:textFill>
        </w:rPr>
        <w:t>第二章</w:t>
      </w:r>
      <w:r>
        <w:rPr>
          <w:rFonts w:ascii="黑体" w:hAnsi="黑体" w:eastAsia="黑体"/>
          <w:b w:val="0"/>
          <w:color w:val="000000" w:themeColor="text1"/>
          <w:sz w:val="32"/>
          <w:szCs w:val="32"/>
          <w14:textFill>
            <w14:solidFill>
              <w14:schemeClr w14:val="tx1"/>
            </w14:solidFill>
          </w14:textFill>
        </w:rPr>
        <w:t xml:space="preserve"> </w:t>
      </w:r>
      <w:r>
        <w:rPr>
          <w:rFonts w:hint="eastAsia" w:ascii="黑体" w:hAnsi="黑体" w:eastAsia="黑体"/>
          <w:b w:val="0"/>
          <w:color w:val="000000" w:themeColor="text1"/>
          <w:sz w:val="32"/>
          <w:szCs w:val="32"/>
          <w14:textFill>
            <w14:solidFill>
              <w14:schemeClr w14:val="tx1"/>
            </w14:solidFill>
          </w14:textFill>
        </w:rPr>
        <w:t>跨越发展，全方位推动高质量发展超越</w:t>
      </w:r>
      <w:r>
        <w:rPr>
          <w:rFonts w:ascii="黑体" w:hAnsi="黑体" w:eastAsia="黑体"/>
          <w:b w:val="0"/>
          <w:color w:val="000000" w:themeColor="text1"/>
          <w:sz w:val="32"/>
          <w:szCs w:val="32"/>
          <w14:textFill>
            <w14:solidFill>
              <w14:schemeClr w14:val="tx1"/>
            </w14:solidFill>
          </w14:textFill>
        </w:rPr>
        <w:tab/>
      </w:r>
      <w:r>
        <w:rPr>
          <w:rFonts w:ascii="黑体" w:hAnsi="黑体" w:eastAsia="黑体"/>
          <w:b w:val="0"/>
          <w:color w:val="000000" w:themeColor="text1"/>
          <w:sz w:val="32"/>
          <w:szCs w:val="32"/>
          <w14:textFill>
            <w14:solidFill>
              <w14:schemeClr w14:val="tx1"/>
            </w14:solidFill>
          </w14:textFill>
        </w:rPr>
        <w:fldChar w:fldCharType="begin"/>
      </w:r>
      <w:r>
        <w:rPr>
          <w:rFonts w:ascii="黑体" w:hAnsi="黑体" w:eastAsia="黑体"/>
          <w:b w:val="0"/>
          <w:color w:val="000000" w:themeColor="text1"/>
          <w:sz w:val="32"/>
          <w:szCs w:val="32"/>
          <w14:textFill>
            <w14:solidFill>
              <w14:schemeClr w14:val="tx1"/>
            </w14:solidFill>
          </w14:textFill>
        </w:rPr>
        <w:instrText xml:space="preserve"> PAGEREF _Toc74035486 \h </w:instrText>
      </w:r>
      <w:r>
        <w:rPr>
          <w:rFonts w:ascii="黑体" w:hAnsi="黑体" w:eastAsia="黑体"/>
          <w:b w:val="0"/>
          <w:color w:val="000000" w:themeColor="text1"/>
          <w:sz w:val="32"/>
          <w:szCs w:val="32"/>
          <w14:textFill>
            <w14:solidFill>
              <w14:schemeClr w14:val="tx1"/>
            </w14:solidFill>
          </w14:textFill>
        </w:rPr>
        <w:fldChar w:fldCharType="separate"/>
      </w:r>
      <w:r>
        <w:rPr>
          <w:rFonts w:ascii="黑体" w:hAnsi="黑体" w:eastAsia="黑体"/>
          <w:b w:val="0"/>
          <w:color w:val="000000" w:themeColor="text1"/>
          <w:sz w:val="32"/>
          <w:szCs w:val="32"/>
          <w14:textFill>
            <w14:solidFill>
              <w14:schemeClr w14:val="tx1"/>
            </w14:solidFill>
          </w14:textFill>
        </w:rPr>
        <w:t>18</w:t>
      </w:r>
      <w:r>
        <w:rPr>
          <w:rFonts w:ascii="黑体" w:hAnsi="黑体" w:eastAsia="黑体"/>
          <w:b w:val="0"/>
          <w:color w:val="000000" w:themeColor="text1"/>
          <w:sz w:val="32"/>
          <w:szCs w:val="32"/>
          <w14:textFill>
            <w14:solidFill>
              <w14:schemeClr w14:val="tx1"/>
            </w14:solidFill>
          </w14:textFill>
        </w:rPr>
        <w:fldChar w:fldCharType="end"/>
      </w:r>
    </w:p>
    <w:p w14:paraId="0BB84473">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第一节 指导思想</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_Toc74035487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18</w:t>
      </w:r>
      <w:r>
        <w:rPr>
          <w:rFonts w:ascii="Times New Roman" w:hAnsi="Times New Roman" w:eastAsia="方正仿宋简体" w:cs="Times New Roman"/>
          <w:sz w:val="32"/>
          <w:szCs w:val="32"/>
        </w:rPr>
        <w:fldChar w:fldCharType="end"/>
      </w:r>
    </w:p>
    <w:p w14:paraId="4B36CD52">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第二节 发展架构</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_Toc74035488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18</w:t>
      </w:r>
      <w:r>
        <w:rPr>
          <w:rFonts w:ascii="Times New Roman" w:hAnsi="Times New Roman" w:eastAsia="方正仿宋简体" w:cs="Times New Roman"/>
          <w:sz w:val="32"/>
          <w:szCs w:val="32"/>
        </w:rPr>
        <w:fldChar w:fldCharType="end"/>
      </w:r>
    </w:p>
    <w:p w14:paraId="639681FF">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第三节 远景展望</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_Toc74035489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21</w:t>
      </w:r>
      <w:r>
        <w:rPr>
          <w:rFonts w:ascii="Times New Roman" w:hAnsi="Times New Roman" w:eastAsia="方正仿宋简体" w:cs="Times New Roman"/>
          <w:sz w:val="32"/>
          <w:szCs w:val="32"/>
        </w:rPr>
        <w:fldChar w:fldCharType="end"/>
      </w:r>
    </w:p>
    <w:p w14:paraId="752952A8">
      <w:pPr>
        <w:pStyle w:val="19"/>
        <w:tabs>
          <w:tab w:val="right" w:leader="dot" w:pos="8828"/>
        </w:tabs>
        <w:spacing w:line="590" w:lineRule="exact"/>
        <w:rPr>
          <w:rFonts w:hAnsiTheme="minorHAnsi" w:eastAsiaTheme="minorEastAsia" w:cstheme="minorBidi"/>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第四节 主要目标</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_Toc74035490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21</w:t>
      </w:r>
      <w:r>
        <w:rPr>
          <w:rFonts w:ascii="Times New Roman" w:hAnsi="Times New Roman" w:eastAsia="方正仿宋简体" w:cs="Times New Roman"/>
          <w:sz w:val="32"/>
          <w:szCs w:val="32"/>
        </w:rPr>
        <w:fldChar w:fldCharType="end"/>
      </w:r>
    </w:p>
    <w:p w14:paraId="6911B00E">
      <w:pPr>
        <w:pStyle w:val="15"/>
        <w:tabs>
          <w:tab w:val="right" w:leader="dot" w:pos="8828"/>
        </w:tabs>
        <w:spacing w:before="0" w:after="0" w:line="590" w:lineRule="exact"/>
        <w:rPr>
          <w:rFonts w:ascii="黑体" w:hAnsi="黑体" w:eastAsia="黑体" w:cstheme="minorBidi"/>
          <w:b w:val="0"/>
          <w:bCs w:val="0"/>
          <w:caps w:val="0"/>
          <w:kern w:val="2"/>
          <w:sz w:val="32"/>
          <w:szCs w:val="32"/>
        </w:rPr>
      </w:pPr>
      <w:r>
        <w:rPr>
          <w:rFonts w:hint="eastAsia" w:ascii="黑体" w:hAnsi="黑体" w:eastAsia="黑体"/>
          <w:b w:val="0"/>
          <w:color w:val="000000" w:themeColor="text1"/>
          <w:sz w:val="32"/>
          <w:szCs w:val="32"/>
          <w14:textFill>
            <w14:solidFill>
              <w14:schemeClr w14:val="tx1"/>
            </w14:solidFill>
          </w14:textFill>
        </w:rPr>
        <w:t>第三章</w:t>
      </w:r>
      <w:r>
        <w:rPr>
          <w:rFonts w:ascii="黑体" w:hAnsi="黑体" w:eastAsia="黑体"/>
          <w:b w:val="0"/>
          <w:color w:val="000000" w:themeColor="text1"/>
          <w:sz w:val="32"/>
          <w:szCs w:val="32"/>
          <w14:textFill>
            <w14:solidFill>
              <w14:schemeClr w14:val="tx1"/>
            </w14:solidFill>
          </w14:textFill>
        </w:rPr>
        <w:t xml:space="preserve"> </w:t>
      </w:r>
      <w:r>
        <w:rPr>
          <w:rFonts w:hint="eastAsia" w:ascii="黑体" w:hAnsi="黑体" w:eastAsia="黑体"/>
          <w:b w:val="0"/>
          <w:color w:val="000000" w:themeColor="text1"/>
          <w:sz w:val="32"/>
          <w:szCs w:val="32"/>
          <w14:textFill>
            <w14:solidFill>
              <w14:schemeClr w14:val="tx1"/>
            </w14:solidFill>
          </w14:textFill>
        </w:rPr>
        <w:t>创新发展，加快建设国家创新型城区</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_Toc74035491 \h </w:instrText>
      </w:r>
      <w:r>
        <w:rPr>
          <w:rFonts w:ascii="黑体" w:hAnsi="黑体" w:eastAsia="黑体"/>
          <w:sz w:val="32"/>
          <w:szCs w:val="32"/>
        </w:rPr>
        <w:fldChar w:fldCharType="separate"/>
      </w:r>
      <w:r>
        <w:rPr>
          <w:rFonts w:ascii="黑体" w:hAnsi="黑体" w:eastAsia="黑体"/>
          <w:sz w:val="32"/>
          <w:szCs w:val="32"/>
        </w:rPr>
        <w:t>27</w:t>
      </w:r>
      <w:r>
        <w:rPr>
          <w:rFonts w:ascii="黑体" w:hAnsi="黑体" w:eastAsia="黑体"/>
          <w:sz w:val="32"/>
          <w:szCs w:val="32"/>
        </w:rPr>
        <w:fldChar w:fldCharType="end"/>
      </w:r>
    </w:p>
    <w:p w14:paraId="558F31BA">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第一节 加快建设创新引领示范新城区</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_Toc74035492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27</w:t>
      </w:r>
      <w:r>
        <w:rPr>
          <w:rFonts w:ascii="Times New Roman" w:hAnsi="Times New Roman" w:eastAsia="方正仿宋简体" w:cs="Times New Roman"/>
          <w:sz w:val="32"/>
          <w:szCs w:val="32"/>
        </w:rPr>
        <w:fldChar w:fldCharType="end"/>
      </w:r>
    </w:p>
    <w:p w14:paraId="4D763494">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 xml:space="preserve">第二节 </w:t>
      </w:r>
      <w:r>
        <w:rPr>
          <w:rFonts w:ascii="Times New Roman" w:hAnsi="Times New Roman" w:eastAsia="方正仿宋简体" w:cs="Times New Roman"/>
          <w:sz w:val="32"/>
          <w:szCs w:val="32"/>
        </w:rPr>
        <w:t>全面推动产业重塑发展新优势</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_Toc74035493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28</w:t>
      </w:r>
      <w:r>
        <w:rPr>
          <w:rFonts w:ascii="Times New Roman" w:hAnsi="Times New Roman" w:eastAsia="方正仿宋简体" w:cs="Times New Roman"/>
          <w:sz w:val="32"/>
          <w:szCs w:val="32"/>
        </w:rPr>
        <w:fldChar w:fldCharType="end"/>
      </w:r>
    </w:p>
    <w:p w14:paraId="7920B57A">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第三节 建立健全创新协同发展新机制</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_Toc74035494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30</w:t>
      </w:r>
      <w:r>
        <w:rPr>
          <w:rFonts w:ascii="Times New Roman" w:hAnsi="Times New Roman" w:eastAsia="方正仿宋简体" w:cs="Times New Roman"/>
          <w:sz w:val="32"/>
          <w:szCs w:val="32"/>
        </w:rPr>
        <w:fldChar w:fldCharType="end"/>
      </w:r>
    </w:p>
    <w:p w14:paraId="0F681DDB">
      <w:pPr>
        <w:pStyle w:val="19"/>
        <w:tabs>
          <w:tab w:val="right" w:leader="dot" w:pos="8828"/>
        </w:tabs>
        <w:spacing w:line="590" w:lineRule="exact"/>
        <w:rPr>
          <w:rFonts w:hAnsiTheme="minorHAnsi" w:eastAsiaTheme="minorEastAsia" w:cstheme="minorBidi"/>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第四节 全面推进人才强区发展新战略</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_Toc74035495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31</w:t>
      </w:r>
      <w:r>
        <w:rPr>
          <w:rFonts w:ascii="Times New Roman" w:hAnsi="Times New Roman" w:eastAsia="方正仿宋简体" w:cs="Times New Roman"/>
          <w:sz w:val="32"/>
          <w:szCs w:val="32"/>
        </w:rPr>
        <w:fldChar w:fldCharType="end"/>
      </w:r>
    </w:p>
    <w:p w14:paraId="198A23C6">
      <w:pPr>
        <w:pStyle w:val="15"/>
        <w:tabs>
          <w:tab w:val="right" w:leader="dot" w:pos="8828"/>
        </w:tabs>
        <w:spacing w:before="0" w:after="0" w:line="590" w:lineRule="exact"/>
        <w:rPr>
          <w:rFonts w:hAnsiTheme="minorHAnsi" w:eastAsiaTheme="minorEastAsia" w:cstheme="minorBidi"/>
          <w:b w:val="0"/>
          <w:bCs w:val="0"/>
          <w:caps w:val="0"/>
          <w:kern w:val="2"/>
          <w:sz w:val="32"/>
          <w:szCs w:val="32"/>
        </w:rPr>
      </w:pPr>
      <w:r>
        <w:rPr>
          <w:rFonts w:hint="eastAsia" w:ascii="黑体" w:hAnsi="黑体" w:eastAsia="黑体"/>
          <w:b w:val="0"/>
          <w:color w:val="000000" w:themeColor="text1"/>
          <w:sz w:val="32"/>
          <w:szCs w:val="32"/>
          <w14:textFill>
            <w14:solidFill>
              <w14:schemeClr w14:val="tx1"/>
            </w14:solidFill>
          </w14:textFill>
        </w:rPr>
        <w:t>第四章</w:t>
      </w:r>
      <w:r>
        <w:rPr>
          <w:rFonts w:ascii="黑体" w:hAnsi="黑体" w:eastAsia="黑体"/>
          <w:b w:val="0"/>
          <w:color w:val="000000" w:themeColor="text1"/>
          <w:sz w:val="32"/>
          <w:szCs w:val="32"/>
          <w14:textFill>
            <w14:solidFill>
              <w14:schemeClr w14:val="tx1"/>
            </w14:solidFill>
          </w14:textFill>
        </w:rPr>
        <w:t xml:space="preserve"> </w:t>
      </w:r>
      <w:r>
        <w:rPr>
          <w:rFonts w:hint="eastAsia" w:ascii="黑体" w:hAnsi="黑体" w:eastAsia="黑体"/>
          <w:b w:val="0"/>
          <w:color w:val="000000" w:themeColor="text1"/>
          <w:sz w:val="32"/>
          <w:szCs w:val="32"/>
          <w14:textFill>
            <w14:solidFill>
              <w14:schemeClr w14:val="tx1"/>
            </w14:solidFill>
          </w14:textFill>
        </w:rPr>
        <w:t>协调发展，构建城市空间协同新局面</w:t>
      </w:r>
      <w:r>
        <w:rPr>
          <w:rFonts w:ascii="黑体" w:hAnsi="黑体" w:eastAsia="黑体"/>
          <w:b w:val="0"/>
          <w:color w:val="000000" w:themeColor="text1"/>
          <w:sz w:val="32"/>
          <w:szCs w:val="32"/>
          <w14:textFill>
            <w14:solidFill>
              <w14:schemeClr w14:val="tx1"/>
            </w14:solidFill>
          </w14:textFill>
        </w:rPr>
        <w:tab/>
      </w:r>
      <w:r>
        <w:rPr>
          <w:rFonts w:ascii="黑体" w:hAnsi="黑体" w:eastAsia="黑体"/>
          <w:b w:val="0"/>
          <w:color w:val="000000" w:themeColor="text1"/>
          <w:sz w:val="32"/>
          <w:szCs w:val="32"/>
          <w14:textFill>
            <w14:solidFill>
              <w14:schemeClr w14:val="tx1"/>
            </w14:solidFill>
          </w14:textFill>
        </w:rPr>
        <w:fldChar w:fldCharType="begin"/>
      </w:r>
      <w:r>
        <w:rPr>
          <w:rFonts w:ascii="黑体" w:hAnsi="黑体" w:eastAsia="黑体"/>
          <w:b w:val="0"/>
          <w:color w:val="000000" w:themeColor="text1"/>
          <w:sz w:val="32"/>
          <w:szCs w:val="32"/>
          <w14:textFill>
            <w14:solidFill>
              <w14:schemeClr w14:val="tx1"/>
            </w14:solidFill>
          </w14:textFill>
        </w:rPr>
        <w:instrText xml:space="preserve"> PAGEREF _Toc74035496 \h </w:instrText>
      </w:r>
      <w:r>
        <w:rPr>
          <w:rFonts w:ascii="黑体" w:hAnsi="黑体" w:eastAsia="黑体"/>
          <w:b w:val="0"/>
          <w:color w:val="000000" w:themeColor="text1"/>
          <w:sz w:val="32"/>
          <w:szCs w:val="32"/>
          <w14:textFill>
            <w14:solidFill>
              <w14:schemeClr w14:val="tx1"/>
            </w14:solidFill>
          </w14:textFill>
        </w:rPr>
        <w:fldChar w:fldCharType="separate"/>
      </w:r>
      <w:r>
        <w:rPr>
          <w:rFonts w:ascii="黑体" w:hAnsi="黑体" w:eastAsia="黑体"/>
          <w:b w:val="0"/>
          <w:color w:val="000000" w:themeColor="text1"/>
          <w:sz w:val="32"/>
          <w:szCs w:val="32"/>
          <w14:textFill>
            <w14:solidFill>
              <w14:schemeClr w14:val="tx1"/>
            </w14:solidFill>
          </w14:textFill>
        </w:rPr>
        <w:t>33</w:t>
      </w:r>
      <w:r>
        <w:rPr>
          <w:rFonts w:ascii="黑体" w:hAnsi="黑体" w:eastAsia="黑体"/>
          <w:b w:val="0"/>
          <w:color w:val="000000" w:themeColor="text1"/>
          <w:sz w:val="32"/>
          <w:szCs w:val="32"/>
          <w14:textFill>
            <w14:solidFill>
              <w14:schemeClr w14:val="tx1"/>
            </w14:solidFill>
          </w14:textFill>
        </w:rPr>
        <w:fldChar w:fldCharType="end"/>
      </w:r>
    </w:p>
    <w:p w14:paraId="4C32EBE3">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第一节 划定城市主体功能分区</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_Toc74035497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33</w:t>
      </w:r>
      <w:r>
        <w:rPr>
          <w:rFonts w:ascii="Times New Roman" w:hAnsi="Times New Roman" w:eastAsia="方正仿宋简体" w:cs="Times New Roman"/>
          <w:sz w:val="32"/>
          <w:szCs w:val="32"/>
        </w:rPr>
        <w:fldChar w:fldCharType="end"/>
      </w:r>
    </w:p>
    <w:p w14:paraId="7CA01DEF">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第二节 优化区域产业空间布局</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_Toc74035498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35</w:t>
      </w:r>
      <w:r>
        <w:rPr>
          <w:rFonts w:ascii="Times New Roman" w:hAnsi="Times New Roman" w:eastAsia="方正仿宋简体" w:cs="Times New Roman"/>
          <w:sz w:val="32"/>
          <w:szCs w:val="32"/>
        </w:rPr>
        <w:fldChar w:fldCharType="end"/>
      </w:r>
    </w:p>
    <w:p w14:paraId="28F68772">
      <w:pPr>
        <w:pStyle w:val="19"/>
        <w:tabs>
          <w:tab w:val="right" w:leader="dot" w:pos="8828"/>
        </w:tabs>
        <w:spacing w:line="590" w:lineRule="exact"/>
        <w:rPr>
          <w:rFonts w:hAnsiTheme="minorHAnsi" w:eastAsiaTheme="minorEastAsia" w:cstheme="minorBidi"/>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第三节 推进环湾向湾融合发展</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_Toc74035499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38</w:t>
      </w:r>
      <w:r>
        <w:rPr>
          <w:rFonts w:ascii="Times New Roman" w:hAnsi="Times New Roman" w:eastAsia="方正仿宋简体" w:cs="Times New Roman"/>
          <w:sz w:val="32"/>
          <w:szCs w:val="32"/>
        </w:rPr>
        <w:fldChar w:fldCharType="end"/>
      </w:r>
    </w:p>
    <w:p w14:paraId="0D928C34">
      <w:pPr>
        <w:pStyle w:val="19"/>
        <w:tabs>
          <w:tab w:val="right" w:leader="dot" w:pos="8828"/>
        </w:tabs>
        <w:spacing w:line="590" w:lineRule="exact"/>
        <w:ind w:left="0"/>
        <w:jc w:val="distribute"/>
        <w:outlineLvl w:val="0"/>
        <w:rPr>
          <w:rFonts w:ascii="黑体" w:hAnsi="黑体" w:eastAsia="黑体" w:cs="Times New Roman (标题 CS)"/>
          <w:color w:val="000000" w:themeColor="text1"/>
          <w:sz w:val="32"/>
          <w:szCs w:val="32"/>
          <w14:textFill>
            <w14:solidFill>
              <w14:schemeClr w14:val="tx1"/>
            </w14:solidFill>
          </w14:textFill>
        </w:rPr>
      </w:pPr>
      <w:r>
        <w:rPr>
          <w:rFonts w:hint="eastAsia" w:ascii="黑体" w:hAnsi="黑体" w:eastAsia="黑体" w:cs="Times New Roman (标题 CS)"/>
          <w:color w:val="000000" w:themeColor="text1"/>
          <w:sz w:val="32"/>
          <w:szCs w:val="32"/>
          <w14:textFill>
            <w14:solidFill>
              <w14:schemeClr w14:val="tx1"/>
            </w14:solidFill>
          </w14:textFill>
        </w:rPr>
        <w:t>第五章 转型发展，加快打造现代产业体系……………………</w:t>
      </w:r>
      <w:r>
        <w:rPr>
          <w:rFonts w:ascii="黑体" w:hAnsi="黑体" w:eastAsia="黑体"/>
          <w:sz w:val="32"/>
          <w:szCs w:val="32"/>
        </w:rPr>
        <w:fldChar w:fldCharType="begin"/>
      </w:r>
      <w:r>
        <w:rPr>
          <w:rFonts w:ascii="黑体" w:hAnsi="黑体" w:eastAsia="黑体"/>
          <w:sz w:val="32"/>
          <w:szCs w:val="32"/>
        </w:rPr>
        <w:instrText xml:space="preserve"> PAGEREF _Toc74035500 \h </w:instrText>
      </w:r>
      <w:r>
        <w:rPr>
          <w:rFonts w:ascii="黑体" w:hAnsi="黑体" w:eastAsia="黑体"/>
          <w:sz w:val="32"/>
          <w:szCs w:val="32"/>
        </w:rPr>
        <w:fldChar w:fldCharType="separate"/>
      </w:r>
      <w:r>
        <w:rPr>
          <w:rFonts w:ascii="黑体" w:hAnsi="黑体" w:eastAsia="黑体"/>
          <w:sz w:val="32"/>
          <w:szCs w:val="32"/>
        </w:rPr>
        <w:t>40</w:t>
      </w:r>
      <w:r>
        <w:rPr>
          <w:rFonts w:ascii="黑体" w:hAnsi="黑体" w:eastAsia="黑体"/>
          <w:sz w:val="32"/>
          <w:szCs w:val="32"/>
        </w:rPr>
        <w:fldChar w:fldCharType="end"/>
      </w:r>
    </w:p>
    <w:p w14:paraId="4373B408">
      <w:pPr>
        <w:pStyle w:val="19"/>
        <w:tabs>
          <w:tab w:val="right" w:leader="dot" w:pos="8828"/>
        </w:tabs>
        <w:spacing w:line="590" w:lineRule="exact"/>
        <w:jc w:val="distribute"/>
        <w:outlineLvl w:val="0"/>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第一节 培育先进制造业新优势</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_Toc74035500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40</w:t>
      </w:r>
      <w:r>
        <w:rPr>
          <w:rFonts w:ascii="Times New Roman" w:hAnsi="Times New Roman" w:eastAsia="方正仿宋简体" w:cs="Times New Roman"/>
          <w:sz w:val="32"/>
          <w:szCs w:val="32"/>
        </w:rPr>
        <w:fldChar w:fldCharType="end"/>
      </w:r>
    </w:p>
    <w:p w14:paraId="60BACE13">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第二节 打造现代服务业新引擎</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_Toc74035501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44</w:t>
      </w:r>
      <w:r>
        <w:rPr>
          <w:rFonts w:ascii="Times New Roman" w:hAnsi="Times New Roman" w:eastAsia="方正仿宋简体" w:cs="Times New Roman"/>
          <w:sz w:val="32"/>
          <w:szCs w:val="32"/>
        </w:rPr>
        <w:fldChar w:fldCharType="end"/>
      </w:r>
    </w:p>
    <w:p w14:paraId="32D18A4B">
      <w:pPr>
        <w:pStyle w:val="19"/>
        <w:tabs>
          <w:tab w:val="right" w:leader="dot" w:pos="8828"/>
        </w:tabs>
        <w:spacing w:line="590" w:lineRule="exact"/>
        <w:rPr>
          <w:rFonts w:hAnsiTheme="minorHAnsi" w:eastAsiaTheme="minorEastAsia" w:cstheme="minorBidi"/>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第三节 拓展新经济发展新模式</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_Toc74035502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50</w:t>
      </w:r>
      <w:r>
        <w:rPr>
          <w:rFonts w:ascii="Times New Roman" w:hAnsi="Times New Roman" w:eastAsia="方正仿宋简体" w:cs="Times New Roman"/>
          <w:sz w:val="32"/>
          <w:szCs w:val="32"/>
        </w:rPr>
        <w:fldChar w:fldCharType="end"/>
      </w:r>
    </w:p>
    <w:p w14:paraId="1B6EE9D3">
      <w:pPr>
        <w:pStyle w:val="15"/>
        <w:tabs>
          <w:tab w:val="right" w:leader="dot" w:pos="8828"/>
        </w:tabs>
        <w:spacing w:before="0" w:after="0" w:line="590" w:lineRule="exact"/>
        <w:rPr>
          <w:rFonts w:ascii="黑体" w:hAnsi="黑体" w:eastAsia="黑体" w:cstheme="minorBidi"/>
          <w:b w:val="0"/>
          <w:bCs w:val="0"/>
          <w:caps w:val="0"/>
          <w:kern w:val="2"/>
          <w:sz w:val="32"/>
          <w:szCs w:val="32"/>
        </w:rPr>
      </w:pPr>
      <w:r>
        <w:rPr>
          <w:rFonts w:hint="eastAsia" w:ascii="黑体" w:hAnsi="黑体" w:eastAsia="黑体"/>
          <w:b w:val="0"/>
          <w:color w:val="000000" w:themeColor="text1"/>
          <w:sz w:val="32"/>
          <w:szCs w:val="32"/>
          <w14:textFill>
            <w14:solidFill>
              <w14:schemeClr w14:val="tx1"/>
            </w14:solidFill>
          </w14:textFill>
        </w:rPr>
        <w:t>第六章</w:t>
      </w:r>
      <w:r>
        <w:rPr>
          <w:rFonts w:ascii="黑体" w:hAnsi="黑体" w:eastAsia="黑体"/>
          <w:b w:val="0"/>
          <w:color w:val="000000" w:themeColor="text1"/>
          <w:sz w:val="32"/>
          <w:szCs w:val="32"/>
          <w14:textFill>
            <w14:solidFill>
              <w14:schemeClr w14:val="tx1"/>
            </w14:solidFill>
          </w14:textFill>
        </w:rPr>
        <w:t xml:space="preserve"> </w:t>
      </w:r>
      <w:r>
        <w:rPr>
          <w:rFonts w:hint="eastAsia" w:ascii="黑体" w:hAnsi="黑体" w:eastAsia="黑体"/>
          <w:b w:val="0"/>
          <w:color w:val="000000" w:themeColor="text1"/>
          <w:sz w:val="32"/>
          <w:szCs w:val="32"/>
          <w14:textFill>
            <w14:solidFill>
              <w14:schemeClr w14:val="tx1"/>
            </w14:solidFill>
          </w14:textFill>
        </w:rPr>
        <w:t>特色发展，传承弘扬鲤城历史文脉</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_Toc74035503 \h </w:instrText>
      </w:r>
      <w:r>
        <w:rPr>
          <w:rFonts w:ascii="黑体" w:hAnsi="黑体" w:eastAsia="黑体"/>
          <w:sz w:val="32"/>
          <w:szCs w:val="32"/>
        </w:rPr>
        <w:fldChar w:fldCharType="separate"/>
      </w:r>
      <w:r>
        <w:rPr>
          <w:rFonts w:ascii="黑体" w:hAnsi="黑体" w:eastAsia="黑体"/>
          <w:sz w:val="32"/>
          <w:szCs w:val="32"/>
        </w:rPr>
        <w:t>55</w:t>
      </w:r>
      <w:r>
        <w:rPr>
          <w:rFonts w:ascii="黑体" w:hAnsi="黑体" w:eastAsia="黑体"/>
          <w:sz w:val="32"/>
          <w:szCs w:val="32"/>
        </w:rPr>
        <w:fldChar w:fldCharType="end"/>
      </w:r>
    </w:p>
    <w:p w14:paraId="1FF9EB33">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第一节 推动历史文化与现代文明交相辉映</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_Toc74035504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55</w:t>
      </w:r>
      <w:r>
        <w:rPr>
          <w:rFonts w:ascii="Times New Roman" w:hAnsi="Times New Roman" w:eastAsia="方正仿宋简体" w:cs="Times New Roman"/>
          <w:sz w:val="32"/>
          <w:szCs w:val="32"/>
        </w:rPr>
        <w:fldChar w:fldCharType="end"/>
      </w:r>
    </w:p>
    <w:p w14:paraId="252DB4DA">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第二节 推动历史文化与产业发展深度融合</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_Toc74035505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57</w:t>
      </w:r>
      <w:r>
        <w:rPr>
          <w:rFonts w:ascii="Times New Roman" w:hAnsi="Times New Roman" w:eastAsia="方正仿宋简体" w:cs="Times New Roman"/>
          <w:sz w:val="32"/>
          <w:szCs w:val="32"/>
        </w:rPr>
        <w:fldChar w:fldCharType="end"/>
      </w:r>
    </w:p>
    <w:p w14:paraId="06FF48C0">
      <w:pPr>
        <w:pStyle w:val="19"/>
        <w:tabs>
          <w:tab w:val="right" w:leader="dot" w:pos="8828"/>
        </w:tabs>
        <w:spacing w:line="590" w:lineRule="exact"/>
        <w:rPr>
          <w:rFonts w:hAnsiTheme="minorHAnsi" w:eastAsiaTheme="minorEastAsia" w:cstheme="minorBidi"/>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第三节 推动文化事业与社会文明和谐共进</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_Toc74035506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59</w:t>
      </w:r>
      <w:r>
        <w:rPr>
          <w:rFonts w:ascii="Times New Roman" w:hAnsi="Times New Roman" w:eastAsia="方正仿宋简体" w:cs="Times New Roman"/>
          <w:sz w:val="32"/>
          <w:szCs w:val="32"/>
        </w:rPr>
        <w:fldChar w:fldCharType="end"/>
      </w:r>
    </w:p>
    <w:p w14:paraId="59537C0E">
      <w:pPr>
        <w:pStyle w:val="15"/>
        <w:tabs>
          <w:tab w:val="right" w:leader="dot" w:pos="8828"/>
        </w:tabs>
        <w:spacing w:before="0" w:after="0" w:line="590" w:lineRule="exact"/>
        <w:rPr>
          <w:rFonts w:ascii="黑体" w:hAnsi="黑体" w:eastAsia="黑体" w:cstheme="minorBidi"/>
          <w:b w:val="0"/>
          <w:bCs w:val="0"/>
          <w:caps w:val="0"/>
          <w:kern w:val="2"/>
          <w:sz w:val="32"/>
          <w:szCs w:val="32"/>
        </w:rPr>
      </w:pPr>
      <w:r>
        <w:rPr>
          <w:rFonts w:hint="eastAsia" w:ascii="黑体" w:hAnsi="黑体" w:eastAsia="黑体"/>
          <w:b w:val="0"/>
          <w:color w:val="000000" w:themeColor="text1"/>
          <w:sz w:val="32"/>
          <w:szCs w:val="32"/>
          <w14:textFill>
            <w14:solidFill>
              <w14:schemeClr w14:val="tx1"/>
            </w14:solidFill>
          </w14:textFill>
        </w:rPr>
        <w:t>第七章</w:t>
      </w:r>
      <w:r>
        <w:rPr>
          <w:rFonts w:ascii="黑体" w:hAnsi="黑体" w:eastAsia="黑体"/>
          <w:b w:val="0"/>
          <w:color w:val="000000" w:themeColor="text1"/>
          <w:sz w:val="32"/>
          <w:szCs w:val="32"/>
          <w14:textFill>
            <w14:solidFill>
              <w14:schemeClr w14:val="tx1"/>
            </w14:solidFill>
          </w14:textFill>
        </w:rPr>
        <w:t xml:space="preserve"> </w:t>
      </w:r>
      <w:r>
        <w:rPr>
          <w:rFonts w:hint="eastAsia" w:ascii="黑体" w:hAnsi="黑体" w:eastAsia="黑体"/>
          <w:b w:val="0"/>
          <w:color w:val="000000" w:themeColor="text1"/>
          <w:sz w:val="32"/>
          <w:szCs w:val="32"/>
          <w14:textFill>
            <w14:solidFill>
              <w14:schemeClr w14:val="tx1"/>
            </w14:solidFill>
          </w14:textFill>
        </w:rPr>
        <w:t>统筹发展，全力提升城市品质内涵</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_Toc74035507 \h </w:instrText>
      </w:r>
      <w:r>
        <w:rPr>
          <w:rFonts w:ascii="黑体" w:hAnsi="黑体" w:eastAsia="黑体"/>
          <w:sz w:val="32"/>
          <w:szCs w:val="32"/>
        </w:rPr>
        <w:fldChar w:fldCharType="separate"/>
      </w:r>
      <w:r>
        <w:rPr>
          <w:rFonts w:ascii="黑体" w:hAnsi="黑体" w:eastAsia="黑体"/>
          <w:sz w:val="32"/>
          <w:szCs w:val="32"/>
        </w:rPr>
        <w:t>62</w:t>
      </w:r>
      <w:r>
        <w:rPr>
          <w:rFonts w:ascii="黑体" w:hAnsi="黑体" w:eastAsia="黑体"/>
          <w:sz w:val="32"/>
          <w:szCs w:val="32"/>
        </w:rPr>
        <w:fldChar w:fldCharType="end"/>
      </w:r>
    </w:p>
    <w:p w14:paraId="0B589C90">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第一节 完善交通运输网络布局体系</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_Toc74035508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62</w:t>
      </w:r>
      <w:r>
        <w:rPr>
          <w:rFonts w:ascii="Times New Roman" w:hAnsi="Times New Roman" w:eastAsia="方正仿宋简体" w:cs="Times New Roman"/>
          <w:sz w:val="32"/>
          <w:szCs w:val="32"/>
        </w:rPr>
        <w:fldChar w:fldCharType="end"/>
      </w:r>
    </w:p>
    <w:p w14:paraId="44228489">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第二节 提升市政基础设施建设水平</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_Toc74035509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64</w:t>
      </w:r>
      <w:r>
        <w:rPr>
          <w:rFonts w:ascii="Times New Roman" w:hAnsi="Times New Roman" w:eastAsia="方正仿宋简体" w:cs="Times New Roman"/>
          <w:sz w:val="32"/>
          <w:szCs w:val="32"/>
        </w:rPr>
        <w:fldChar w:fldCharType="end"/>
      </w:r>
    </w:p>
    <w:p w14:paraId="157987B4">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第三节 推进城市更新与社区改造</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_Toc74035510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66</w:t>
      </w:r>
      <w:r>
        <w:rPr>
          <w:rFonts w:ascii="Times New Roman" w:hAnsi="Times New Roman" w:eastAsia="方正仿宋简体" w:cs="Times New Roman"/>
          <w:sz w:val="32"/>
          <w:szCs w:val="32"/>
        </w:rPr>
        <w:fldChar w:fldCharType="end"/>
      </w:r>
    </w:p>
    <w:p w14:paraId="61ECDFCF">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第四节 加快智慧城市建设进度</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_Toc74035511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68</w:t>
      </w:r>
      <w:r>
        <w:rPr>
          <w:rFonts w:ascii="Times New Roman" w:hAnsi="Times New Roman" w:eastAsia="方正仿宋简体" w:cs="Times New Roman"/>
          <w:sz w:val="32"/>
          <w:szCs w:val="32"/>
        </w:rPr>
        <w:fldChar w:fldCharType="end"/>
      </w:r>
    </w:p>
    <w:p w14:paraId="38C07880">
      <w:pPr>
        <w:pStyle w:val="19"/>
        <w:tabs>
          <w:tab w:val="right" w:leader="dot" w:pos="8828"/>
        </w:tabs>
        <w:spacing w:line="590" w:lineRule="exact"/>
        <w:rPr>
          <w:rFonts w:hAnsiTheme="minorHAnsi" w:eastAsiaTheme="minorEastAsia" w:cstheme="minorBidi"/>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第五节 增强城市精细化管理能力</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_Toc74035512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70</w:t>
      </w:r>
      <w:r>
        <w:rPr>
          <w:rFonts w:ascii="Times New Roman" w:hAnsi="Times New Roman" w:eastAsia="方正仿宋简体" w:cs="Times New Roman"/>
          <w:sz w:val="32"/>
          <w:szCs w:val="32"/>
        </w:rPr>
        <w:fldChar w:fldCharType="end"/>
      </w:r>
    </w:p>
    <w:p w14:paraId="32F85885">
      <w:pPr>
        <w:pStyle w:val="15"/>
        <w:tabs>
          <w:tab w:val="right" w:leader="dot" w:pos="8828"/>
        </w:tabs>
        <w:spacing w:before="0" w:after="0" w:line="590" w:lineRule="exact"/>
        <w:rPr>
          <w:rFonts w:ascii="黑体" w:hAnsi="黑体" w:eastAsia="黑体" w:cstheme="minorBidi"/>
          <w:b w:val="0"/>
          <w:bCs w:val="0"/>
          <w:caps w:val="0"/>
          <w:kern w:val="2"/>
          <w:sz w:val="32"/>
          <w:szCs w:val="32"/>
        </w:rPr>
      </w:pPr>
      <w:r>
        <w:rPr>
          <w:rFonts w:hint="eastAsia" w:ascii="黑体" w:hAnsi="黑体" w:eastAsia="黑体"/>
          <w:b w:val="0"/>
          <w:color w:val="000000" w:themeColor="text1"/>
          <w:sz w:val="32"/>
          <w:szCs w:val="32"/>
          <w14:textFill>
            <w14:solidFill>
              <w14:schemeClr w14:val="tx1"/>
            </w14:solidFill>
          </w14:textFill>
        </w:rPr>
        <w:t>第八章</w:t>
      </w:r>
      <w:r>
        <w:rPr>
          <w:rFonts w:ascii="黑体" w:hAnsi="黑体" w:eastAsia="黑体"/>
          <w:b w:val="0"/>
          <w:color w:val="000000" w:themeColor="text1"/>
          <w:sz w:val="32"/>
          <w:szCs w:val="32"/>
          <w14:textFill>
            <w14:solidFill>
              <w14:schemeClr w14:val="tx1"/>
            </w14:solidFill>
          </w14:textFill>
        </w:rPr>
        <w:t xml:space="preserve"> </w:t>
      </w:r>
      <w:r>
        <w:rPr>
          <w:rFonts w:hint="eastAsia" w:ascii="黑体" w:hAnsi="黑体" w:eastAsia="黑体"/>
          <w:b w:val="0"/>
          <w:color w:val="000000" w:themeColor="text1"/>
          <w:sz w:val="32"/>
          <w:szCs w:val="32"/>
          <w14:textFill>
            <w14:solidFill>
              <w14:schemeClr w14:val="tx1"/>
            </w14:solidFill>
          </w14:textFill>
        </w:rPr>
        <w:t>绿色发展，建设山水秀美生态宜居家园</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_Toc74035513 \h </w:instrText>
      </w:r>
      <w:r>
        <w:rPr>
          <w:rFonts w:ascii="黑体" w:hAnsi="黑体" w:eastAsia="黑体"/>
          <w:sz w:val="32"/>
          <w:szCs w:val="32"/>
        </w:rPr>
        <w:fldChar w:fldCharType="separate"/>
      </w:r>
      <w:r>
        <w:rPr>
          <w:rFonts w:ascii="黑体" w:hAnsi="黑体" w:eastAsia="黑体"/>
          <w:sz w:val="32"/>
          <w:szCs w:val="32"/>
        </w:rPr>
        <w:t>72</w:t>
      </w:r>
      <w:r>
        <w:rPr>
          <w:rFonts w:ascii="黑体" w:hAnsi="黑体" w:eastAsia="黑体"/>
          <w:sz w:val="32"/>
          <w:szCs w:val="32"/>
        </w:rPr>
        <w:fldChar w:fldCharType="end"/>
      </w:r>
    </w:p>
    <w:p w14:paraId="1040F56A">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第一节 构建科学生态文明体制</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_Toc74035514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72</w:t>
      </w:r>
      <w:r>
        <w:rPr>
          <w:rFonts w:ascii="Times New Roman" w:hAnsi="Times New Roman" w:eastAsia="方正仿宋简体" w:cs="Times New Roman"/>
          <w:sz w:val="32"/>
          <w:szCs w:val="32"/>
        </w:rPr>
        <w:fldChar w:fldCharType="end"/>
      </w:r>
    </w:p>
    <w:p w14:paraId="5C1F7594">
      <w:pPr>
        <w:pStyle w:val="19"/>
        <w:tabs>
          <w:tab w:val="right" w:leader="dot" w:pos="8828"/>
        </w:tabs>
        <w:spacing w:line="590" w:lineRule="exact"/>
        <w:rPr>
          <w:rFonts w:ascii="Times New Roman" w:hAnsi="Times New Roman" w:eastAsia="方正仿宋简体" w:cs="Times New Roman"/>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第二节 发展绿色低碳生态模式</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_Toc74035515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73</w:t>
      </w:r>
      <w:r>
        <w:rPr>
          <w:rFonts w:ascii="Times New Roman" w:hAnsi="Times New Roman" w:eastAsia="方正仿宋简体" w:cs="Times New Roman"/>
          <w:sz w:val="32"/>
          <w:szCs w:val="32"/>
        </w:rPr>
        <w:fldChar w:fldCharType="end"/>
      </w:r>
    </w:p>
    <w:p w14:paraId="75BE2212">
      <w:pPr>
        <w:pStyle w:val="19"/>
        <w:tabs>
          <w:tab w:val="right" w:leader="dot" w:pos="8828"/>
        </w:tabs>
        <w:spacing w:line="590" w:lineRule="exact"/>
        <w:rPr>
          <w:rFonts w:eastAsia="方正仿宋简体"/>
        </w:rPr>
      </w:pPr>
      <w:r>
        <w:rPr>
          <w:rFonts w:hint="eastAsia" w:ascii="Times New Roman" w:hAnsi="Times New Roman" w:eastAsia="方正仿宋简体" w:cs="Times New Roman"/>
          <w:color w:val="000000" w:themeColor="text1"/>
          <w:sz w:val="32"/>
          <w:szCs w:val="32"/>
          <w14:textFill>
            <w14:solidFill>
              <w14:schemeClr w14:val="tx1"/>
            </w14:solidFill>
          </w14:textFill>
        </w:rPr>
        <w:t>第三节 加强生态环境综合治理</w:t>
      </w:r>
      <w:r>
        <w:rPr>
          <w:rFonts w:ascii="Times New Roman" w:hAnsi="Times New Roman" w:eastAsia="方正仿宋简体" w:cs="Times New Roman"/>
          <w:sz w:val="32"/>
          <w:szCs w:val="32"/>
        </w:rPr>
        <w:tab/>
      </w:r>
      <w:r>
        <w:rPr>
          <w:rFonts w:hint="eastAsia" w:ascii="Times New Roman" w:hAnsi="Times New Roman" w:eastAsia="方正仿宋简体" w:cs="Times New Roman"/>
          <w:sz w:val="32"/>
          <w:szCs w:val="32"/>
        </w:rPr>
        <w:t>74</w:t>
      </w:r>
    </w:p>
    <w:p w14:paraId="36815CCE">
      <w:pPr>
        <w:pStyle w:val="19"/>
        <w:tabs>
          <w:tab w:val="right" w:leader="dot" w:pos="8828"/>
        </w:tabs>
        <w:spacing w:line="590" w:lineRule="exact"/>
        <w:rPr>
          <w:rFonts w:hAnsiTheme="minorHAnsi" w:eastAsiaTheme="minorEastAsia" w:cstheme="minorBidi"/>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第四节 建设绿色生态宜居城市</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_Toc74035516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76</w:t>
      </w:r>
      <w:r>
        <w:rPr>
          <w:rFonts w:ascii="Times New Roman" w:hAnsi="Times New Roman" w:eastAsia="方正仿宋简体" w:cs="Times New Roman"/>
          <w:sz w:val="32"/>
          <w:szCs w:val="32"/>
        </w:rPr>
        <w:fldChar w:fldCharType="end"/>
      </w:r>
    </w:p>
    <w:p w14:paraId="36A8016E">
      <w:pPr>
        <w:pStyle w:val="15"/>
        <w:tabs>
          <w:tab w:val="right" w:leader="dot" w:pos="8828"/>
        </w:tabs>
        <w:spacing w:before="0" w:after="0" w:line="590" w:lineRule="exact"/>
        <w:rPr>
          <w:rFonts w:ascii="黑体" w:hAnsi="黑体" w:eastAsia="黑体" w:cstheme="minorBidi"/>
          <w:b w:val="0"/>
          <w:bCs w:val="0"/>
          <w:caps w:val="0"/>
          <w:kern w:val="2"/>
          <w:sz w:val="32"/>
          <w:szCs w:val="32"/>
        </w:rPr>
      </w:pPr>
      <w:r>
        <w:rPr>
          <w:rFonts w:hint="eastAsia" w:ascii="黑体" w:hAnsi="黑体" w:eastAsia="黑体"/>
          <w:b w:val="0"/>
          <w:color w:val="000000" w:themeColor="text1"/>
          <w:sz w:val="32"/>
          <w:szCs w:val="32"/>
          <w14:textFill>
            <w14:solidFill>
              <w14:schemeClr w14:val="tx1"/>
            </w14:solidFill>
          </w14:textFill>
        </w:rPr>
        <w:t>第九章</w:t>
      </w:r>
      <w:r>
        <w:rPr>
          <w:rFonts w:ascii="黑体" w:hAnsi="黑体" w:eastAsia="黑体"/>
          <w:b w:val="0"/>
          <w:color w:val="000000" w:themeColor="text1"/>
          <w:sz w:val="32"/>
          <w:szCs w:val="32"/>
          <w14:textFill>
            <w14:solidFill>
              <w14:schemeClr w14:val="tx1"/>
            </w14:solidFill>
          </w14:textFill>
        </w:rPr>
        <w:t xml:space="preserve"> </w:t>
      </w:r>
      <w:r>
        <w:rPr>
          <w:rFonts w:hint="eastAsia" w:ascii="黑体" w:hAnsi="黑体" w:eastAsia="黑体"/>
          <w:b w:val="0"/>
          <w:color w:val="000000" w:themeColor="text1"/>
          <w:sz w:val="32"/>
          <w:szCs w:val="32"/>
          <w14:textFill>
            <w14:solidFill>
              <w14:schemeClr w14:val="tx1"/>
            </w14:solidFill>
          </w14:textFill>
        </w:rPr>
        <w:t>平安发展，提升区域社会治理现代化水平</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_Toc74035517 \h </w:instrText>
      </w:r>
      <w:r>
        <w:rPr>
          <w:rFonts w:ascii="黑体" w:hAnsi="黑体" w:eastAsia="黑体"/>
          <w:sz w:val="32"/>
          <w:szCs w:val="32"/>
        </w:rPr>
        <w:fldChar w:fldCharType="separate"/>
      </w:r>
      <w:r>
        <w:rPr>
          <w:rFonts w:ascii="黑体" w:hAnsi="黑体" w:eastAsia="黑体"/>
          <w:sz w:val="32"/>
          <w:szCs w:val="32"/>
        </w:rPr>
        <w:t>79</w:t>
      </w:r>
      <w:r>
        <w:rPr>
          <w:rFonts w:ascii="黑体" w:hAnsi="黑体" w:eastAsia="黑体"/>
          <w:sz w:val="32"/>
          <w:szCs w:val="32"/>
        </w:rPr>
        <w:fldChar w:fldCharType="end"/>
      </w:r>
    </w:p>
    <w:p w14:paraId="0CF75C6E">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第一节 构建社会治理协同机制</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_Toc74035518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79</w:t>
      </w:r>
      <w:r>
        <w:rPr>
          <w:rFonts w:ascii="Times New Roman" w:hAnsi="Times New Roman" w:eastAsia="方正仿宋简体" w:cs="Times New Roman"/>
          <w:sz w:val="32"/>
          <w:szCs w:val="32"/>
        </w:rPr>
        <w:fldChar w:fldCharType="end"/>
      </w:r>
    </w:p>
    <w:p w14:paraId="6CEBC5FF">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第二节 维护社会稳定和安全发展</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_Toc74035519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81</w:t>
      </w:r>
      <w:r>
        <w:rPr>
          <w:rFonts w:ascii="Times New Roman" w:hAnsi="Times New Roman" w:eastAsia="方正仿宋简体" w:cs="Times New Roman"/>
          <w:sz w:val="32"/>
          <w:szCs w:val="32"/>
        </w:rPr>
        <w:fldChar w:fldCharType="end"/>
      </w:r>
    </w:p>
    <w:p w14:paraId="0374B98F">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第三节 创新探索城市社会治理路径</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_Toc74035520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83</w:t>
      </w:r>
      <w:r>
        <w:rPr>
          <w:rFonts w:ascii="Times New Roman" w:hAnsi="Times New Roman" w:eastAsia="方正仿宋简体" w:cs="Times New Roman"/>
          <w:sz w:val="32"/>
          <w:szCs w:val="32"/>
        </w:rPr>
        <w:fldChar w:fldCharType="end"/>
      </w:r>
    </w:p>
    <w:p w14:paraId="0F895CFA">
      <w:pPr>
        <w:pStyle w:val="19"/>
        <w:tabs>
          <w:tab w:val="right" w:leader="dot" w:pos="8828"/>
        </w:tabs>
        <w:spacing w:line="590" w:lineRule="exact"/>
        <w:rPr>
          <w:rFonts w:hAnsiTheme="minorHAnsi" w:eastAsiaTheme="minorEastAsia" w:cstheme="minorBidi"/>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第四节 扎实推动军民融合深度发展</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_Toc74035521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85</w:t>
      </w:r>
      <w:r>
        <w:rPr>
          <w:rFonts w:ascii="Times New Roman" w:hAnsi="Times New Roman" w:eastAsia="方正仿宋简体" w:cs="Times New Roman"/>
          <w:sz w:val="32"/>
          <w:szCs w:val="32"/>
        </w:rPr>
        <w:fldChar w:fldCharType="end"/>
      </w:r>
    </w:p>
    <w:p w14:paraId="0D97C31D">
      <w:pPr>
        <w:pStyle w:val="15"/>
        <w:tabs>
          <w:tab w:val="right" w:leader="dot" w:pos="8828"/>
        </w:tabs>
        <w:spacing w:before="0" w:after="0" w:line="590" w:lineRule="exact"/>
        <w:rPr>
          <w:rFonts w:ascii="黑体" w:hAnsi="黑体" w:eastAsia="黑体" w:cstheme="minorBidi"/>
          <w:b w:val="0"/>
          <w:bCs w:val="0"/>
          <w:caps w:val="0"/>
          <w:kern w:val="2"/>
          <w:sz w:val="32"/>
          <w:szCs w:val="32"/>
        </w:rPr>
      </w:pPr>
      <w:r>
        <w:rPr>
          <w:rFonts w:hint="eastAsia" w:ascii="黑体" w:hAnsi="黑体" w:eastAsia="黑体"/>
          <w:b w:val="0"/>
          <w:color w:val="000000" w:themeColor="text1"/>
          <w:sz w:val="32"/>
          <w:szCs w:val="32"/>
          <w14:textFill>
            <w14:solidFill>
              <w14:schemeClr w14:val="tx1"/>
            </w14:solidFill>
          </w14:textFill>
        </w:rPr>
        <w:t>第十章</w:t>
      </w:r>
      <w:r>
        <w:rPr>
          <w:rFonts w:ascii="黑体" w:hAnsi="黑体" w:eastAsia="黑体"/>
          <w:b w:val="0"/>
          <w:color w:val="000000" w:themeColor="text1"/>
          <w:sz w:val="32"/>
          <w:szCs w:val="32"/>
          <w14:textFill>
            <w14:solidFill>
              <w14:schemeClr w14:val="tx1"/>
            </w14:solidFill>
          </w14:textFill>
        </w:rPr>
        <w:t xml:space="preserve"> </w:t>
      </w:r>
      <w:r>
        <w:rPr>
          <w:rFonts w:hint="eastAsia" w:ascii="黑体" w:hAnsi="黑体" w:eastAsia="黑体"/>
          <w:b w:val="0"/>
          <w:color w:val="000000" w:themeColor="text1"/>
          <w:sz w:val="32"/>
          <w:szCs w:val="32"/>
          <w14:textFill>
            <w14:solidFill>
              <w14:schemeClr w14:val="tx1"/>
            </w14:solidFill>
          </w14:textFill>
        </w:rPr>
        <w:t>开放发展，以深化改革激发发展新活力</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_Toc74035522 \h </w:instrText>
      </w:r>
      <w:r>
        <w:rPr>
          <w:rFonts w:ascii="黑体" w:hAnsi="黑体" w:eastAsia="黑体"/>
          <w:sz w:val="32"/>
          <w:szCs w:val="32"/>
        </w:rPr>
        <w:fldChar w:fldCharType="separate"/>
      </w:r>
      <w:r>
        <w:rPr>
          <w:rFonts w:ascii="黑体" w:hAnsi="黑体" w:eastAsia="黑体"/>
          <w:sz w:val="32"/>
          <w:szCs w:val="32"/>
        </w:rPr>
        <w:t>88</w:t>
      </w:r>
      <w:r>
        <w:rPr>
          <w:rFonts w:ascii="黑体" w:hAnsi="黑体" w:eastAsia="黑体"/>
          <w:sz w:val="32"/>
          <w:szCs w:val="32"/>
        </w:rPr>
        <w:fldChar w:fldCharType="end"/>
      </w:r>
    </w:p>
    <w:p w14:paraId="052FDC1A">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第一节 转变政府职能，提升优质化政务服务水平</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_Toc74035523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88</w:t>
      </w:r>
      <w:r>
        <w:rPr>
          <w:rFonts w:ascii="Times New Roman" w:hAnsi="Times New Roman" w:eastAsia="方正仿宋简体" w:cs="Times New Roman"/>
          <w:sz w:val="32"/>
          <w:szCs w:val="32"/>
        </w:rPr>
        <w:fldChar w:fldCharType="end"/>
      </w:r>
    </w:p>
    <w:p w14:paraId="658EB3B1">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第二节 改革经济领域，构建高水平市场经济体系</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_Toc74035524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90</w:t>
      </w:r>
      <w:r>
        <w:rPr>
          <w:rFonts w:ascii="Times New Roman" w:hAnsi="Times New Roman" w:eastAsia="方正仿宋简体" w:cs="Times New Roman"/>
          <w:sz w:val="32"/>
          <w:szCs w:val="32"/>
        </w:rPr>
        <w:fldChar w:fldCharType="end"/>
      </w:r>
    </w:p>
    <w:p w14:paraId="21A623EF">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第三节 完善公共服务，提升社会服务效率与公平</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_Toc74035525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92</w:t>
      </w:r>
      <w:r>
        <w:rPr>
          <w:rFonts w:ascii="Times New Roman" w:hAnsi="Times New Roman" w:eastAsia="方正仿宋简体" w:cs="Times New Roman"/>
          <w:sz w:val="32"/>
          <w:szCs w:val="32"/>
        </w:rPr>
        <w:fldChar w:fldCharType="end"/>
      </w:r>
    </w:p>
    <w:p w14:paraId="3EAE7E43">
      <w:pPr>
        <w:pStyle w:val="19"/>
        <w:tabs>
          <w:tab w:val="right" w:leader="dot" w:pos="8828"/>
        </w:tabs>
        <w:spacing w:line="590" w:lineRule="exact"/>
        <w:rPr>
          <w:rFonts w:hAnsiTheme="minorHAnsi" w:eastAsiaTheme="minorEastAsia" w:cstheme="minorBidi"/>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第四节 扩大交流合作，构建全方位多元开放格局</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_Toc74035526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93</w:t>
      </w:r>
      <w:r>
        <w:rPr>
          <w:rFonts w:ascii="Times New Roman" w:hAnsi="Times New Roman" w:eastAsia="方正仿宋简体" w:cs="Times New Roman"/>
          <w:sz w:val="32"/>
          <w:szCs w:val="32"/>
        </w:rPr>
        <w:fldChar w:fldCharType="end"/>
      </w:r>
    </w:p>
    <w:p w14:paraId="7A1C6881">
      <w:pPr>
        <w:pStyle w:val="15"/>
        <w:tabs>
          <w:tab w:val="right" w:leader="dot" w:pos="8828"/>
        </w:tabs>
        <w:spacing w:before="0" w:after="0" w:line="590" w:lineRule="exact"/>
        <w:rPr>
          <w:rFonts w:ascii="黑体" w:hAnsi="黑体" w:eastAsia="黑体" w:cstheme="minorBidi"/>
          <w:b w:val="0"/>
          <w:bCs w:val="0"/>
          <w:caps w:val="0"/>
          <w:kern w:val="2"/>
          <w:sz w:val="32"/>
          <w:szCs w:val="32"/>
        </w:rPr>
      </w:pPr>
      <w:r>
        <w:rPr>
          <w:rFonts w:hint="eastAsia" w:ascii="黑体" w:hAnsi="黑体" w:eastAsia="黑体"/>
          <w:b w:val="0"/>
          <w:color w:val="000000" w:themeColor="text1"/>
          <w:sz w:val="32"/>
          <w:szCs w:val="32"/>
          <w14:textFill>
            <w14:solidFill>
              <w14:schemeClr w14:val="tx1"/>
            </w14:solidFill>
          </w14:textFill>
        </w:rPr>
        <w:t>第十一章</w:t>
      </w:r>
      <w:r>
        <w:rPr>
          <w:rFonts w:ascii="黑体" w:hAnsi="黑体" w:eastAsia="黑体"/>
          <w:b w:val="0"/>
          <w:color w:val="000000" w:themeColor="text1"/>
          <w:sz w:val="32"/>
          <w:szCs w:val="32"/>
          <w14:textFill>
            <w14:solidFill>
              <w14:schemeClr w14:val="tx1"/>
            </w14:solidFill>
          </w14:textFill>
        </w:rPr>
        <w:t xml:space="preserve"> </w:t>
      </w:r>
      <w:r>
        <w:rPr>
          <w:rFonts w:hint="eastAsia" w:ascii="黑体" w:hAnsi="黑体" w:eastAsia="黑体"/>
          <w:b w:val="0"/>
          <w:color w:val="000000" w:themeColor="text1"/>
          <w:sz w:val="32"/>
          <w:szCs w:val="32"/>
          <w14:textFill>
            <w14:solidFill>
              <w14:schemeClr w14:val="tx1"/>
            </w14:solidFill>
          </w14:textFill>
        </w:rPr>
        <w:t>共享发展，增进民生福祉提升幸福指数</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_Toc74035527 \h </w:instrText>
      </w:r>
      <w:r>
        <w:rPr>
          <w:rFonts w:ascii="黑体" w:hAnsi="黑体" w:eastAsia="黑体"/>
          <w:sz w:val="32"/>
          <w:szCs w:val="32"/>
        </w:rPr>
        <w:fldChar w:fldCharType="separate"/>
      </w:r>
      <w:r>
        <w:rPr>
          <w:rFonts w:ascii="黑体" w:hAnsi="黑体" w:eastAsia="黑体"/>
          <w:sz w:val="32"/>
          <w:szCs w:val="32"/>
        </w:rPr>
        <w:t>95</w:t>
      </w:r>
      <w:r>
        <w:rPr>
          <w:rFonts w:ascii="黑体" w:hAnsi="黑体" w:eastAsia="黑体"/>
          <w:sz w:val="32"/>
          <w:szCs w:val="32"/>
        </w:rPr>
        <w:fldChar w:fldCharType="end"/>
      </w:r>
    </w:p>
    <w:p w14:paraId="29D70E17">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第一节 促进就业收入分配合理化</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_Toc74035528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95</w:t>
      </w:r>
      <w:r>
        <w:rPr>
          <w:rFonts w:ascii="Times New Roman" w:hAnsi="Times New Roman" w:eastAsia="方正仿宋简体" w:cs="Times New Roman"/>
          <w:sz w:val="32"/>
          <w:szCs w:val="32"/>
        </w:rPr>
        <w:fldChar w:fldCharType="end"/>
      </w:r>
    </w:p>
    <w:p w14:paraId="4ABA4B95">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第二节 构建多层次社会保障体系</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_Toc74035529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96</w:t>
      </w:r>
      <w:r>
        <w:rPr>
          <w:rFonts w:ascii="Times New Roman" w:hAnsi="Times New Roman" w:eastAsia="方正仿宋简体" w:cs="Times New Roman"/>
          <w:sz w:val="32"/>
          <w:szCs w:val="32"/>
        </w:rPr>
        <w:fldChar w:fldCharType="end"/>
      </w:r>
    </w:p>
    <w:p w14:paraId="7AD69F17">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第三节 打造现代化“教育强区”</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_Toc74035530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97</w:t>
      </w:r>
      <w:r>
        <w:rPr>
          <w:rFonts w:ascii="Times New Roman" w:hAnsi="Times New Roman" w:eastAsia="方正仿宋简体" w:cs="Times New Roman"/>
          <w:sz w:val="32"/>
          <w:szCs w:val="32"/>
        </w:rPr>
        <w:fldChar w:fldCharType="end"/>
      </w:r>
    </w:p>
    <w:p w14:paraId="010A14DF">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第四节 高标准推动健康鲤城建设</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_Toc74035531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100</w:t>
      </w:r>
      <w:r>
        <w:rPr>
          <w:rFonts w:ascii="Times New Roman" w:hAnsi="Times New Roman" w:eastAsia="方正仿宋简体" w:cs="Times New Roman"/>
          <w:sz w:val="32"/>
          <w:szCs w:val="32"/>
        </w:rPr>
        <w:fldChar w:fldCharType="end"/>
      </w:r>
    </w:p>
    <w:p w14:paraId="58CEECC8">
      <w:pPr>
        <w:pStyle w:val="19"/>
        <w:tabs>
          <w:tab w:val="right" w:leader="dot" w:pos="8828"/>
        </w:tabs>
        <w:spacing w:line="590" w:lineRule="exact"/>
        <w:rPr>
          <w:rFonts w:hAnsiTheme="minorHAnsi" w:eastAsiaTheme="minorEastAsia" w:cstheme="minorBidi"/>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第五节 统筹与协调其他社会事业</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_Toc74035532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102</w:t>
      </w:r>
      <w:r>
        <w:rPr>
          <w:rFonts w:ascii="Times New Roman" w:hAnsi="Times New Roman" w:eastAsia="方正仿宋简体" w:cs="Times New Roman"/>
          <w:sz w:val="32"/>
          <w:szCs w:val="32"/>
        </w:rPr>
        <w:fldChar w:fldCharType="end"/>
      </w:r>
    </w:p>
    <w:p w14:paraId="0CBC451C">
      <w:pPr>
        <w:pStyle w:val="15"/>
        <w:tabs>
          <w:tab w:val="right" w:leader="dot" w:pos="8828"/>
        </w:tabs>
        <w:spacing w:before="0" w:after="0" w:line="590" w:lineRule="exact"/>
        <w:rPr>
          <w:rFonts w:ascii="黑体" w:hAnsi="黑体" w:eastAsia="黑体" w:cstheme="minorBidi"/>
          <w:b w:val="0"/>
          <w:bCs w:val="0"/>
          <w:caps w:val="0"/>
          <w:kern w:val="2"/>
          <w:sz w:val="32"/>
          <w:szCs w:val="32"/>
        </w:rPr>
      </w:pPr>
      <w:r>
        <w:rPr>
          <w:rFonts w:hint="eastAsia" w:ascii="黑体" w:hAnsi="黑体" w:eastAsia="黑体"/>
          <w:b w:val="0"/>
          <w:color w:val="000000" w:themeColor="text1"/>
          <w:sz w:val="32"/>
          <w:szCs w:val="32"/>
          <w14:textFill>
            <w14:solidFill>
              <w14:schemeClr w14:val="tx1"/>
            </w14:solidFill>
          </w14:textFill>
        </w:rPr>
        <w:t>第十二章</w:t>
      </w:r>
      <w:r>
        <w:rPr>
          <w:rFonts w:ascii="黑体" w:hAnsi="黑体" w:eastAsia="黑体"/>
          <w:b w:val="0"/>
          <w:color w:val="000000" w:themeColor="text1"/>
          <w:sz w:val="32"/>
          <w:szCs w:val="32"/>
          <w14:textFill>
            <w14:solidFill>
              <w14:schemeClr w14:val="tx1"/>
            </w14:solidFill>
          </w14:textFill>
        </w:rPr>
        <w:t xml:space="preserve"> </w:t>
      </w:r>
      <w:r>
        <w:rPr>
          <w:rFonts w:hint="eastAsia" w:ascii="黑体" w:hAnsi="黑体" w:eastAsia="黑体"/>
          <w:b w:val="0"/>
          <w:color w:val="000000" w:themeColor="text1"/>
          <w:sz w:val="32"/>
          <w:szCs w:val="32"/>
          <w14:textFill>
            <w14:solidFill>
              <w14:schemeClr w14:val="tx1"/>
            </w14:solidFill>
          </w14:textFill>
        </w:rPr>
        <w:t>健全机制，全面保障规划有效实施</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_Toc74035533 \h </w:instrText>
      </w:r>
      <w:r>
        <w:rPr>
          <w:rFonts w:ascii="黑体" w:hAnsi="黑体" w:eastAsia="黑体"/>
          <w:sz w:val="32"/>
          <w:szCs w:val="32"/>
        </w:rPr>
        <w:fldChar w:fldCharType="separate"/>
      </w:r>
      <w:r>
        <w:rPr>
          <w:rFonts w:ascii="黑体" w:hAnsi="黑体" w:eastAsia="黑体"/>
          <w:sz w:val="32"/>
          <w:szCs w:val="32"/>
        </w:rPr>
        <w:t>104</w:t>
      </w:r>
      <w:r>
        <w:rPr>
          <w:rFonts w:ascii="黑体" w:hAnsi="黑体" w:eastAsia="黑体"/>
          <w:sz w:val="32"/>
          <w:szCs w:val="32"/>
        </w:rPr>
        <w:fldChar w:fldCharType="end"/>
      </w:r>
    </w:p>
    <w:p w14:paraId="0811CD52">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第一节 健全规划管理体系</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_Toc74035534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104</w:t>
      </w:r>
      <w:r>
        <w:rPr>
          <w:rFonts w:ascii="Times New Roman" w:hAnsi="Times New Roman" w:eastAsia="方正仿宋简体" w:cs="Times New Roman"/>
          <w:sz w:val="32"/>
          <w:szCs w:val="32"/>
        </w:rPr>
        <w:fldChar w:fldCharType="end"/>
      </w:r>
    </w:p>
    <w:p w14:paraId="5137FFA0">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第二节 强化重大项目支撑</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_Toc74035535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104</w:t>
      </w:r>
      <w:r>
        <w:rPr>
          <w:rFonts w:ascii="Times New Roman" w:hAnsi="Times New Roman" w:eastAsia="方正仿宋简体" w:cs="Times New Roman"/>
          <w:sz w:val="32"/>
          <w:szCs w:val="32"/>
        </w:rPr>
        <w:fldChar w:fldCharType="end"/>
      </w:r>
    </w:p>
    <w:p w14:paraId="71A56A8D">
      <w:pPr>
        <w:pStyle w:val="19"/>
        <w:tabs>
          <w:tab w:val="right" w:leader="dot" w:pos="8828"/>
        </w:tabs>
        <w:spacing w:line="590" w:lineRule="exact"/>
        <w:rPr>
          <w:rFonts w:ascii="Times New Roman" w:hAnsi="Times New Roman" w:eastAsia="方正仿宋简体" w:cs="Times New Roman"/>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第三节 加强规划监督考评</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_Toc74035536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105</w:t>
      </w:r>
      <w:r>
        <w:rPr>
          <w:rFonts w:ascii="Times New Roman" w:hAnsi="Times New Roman" w:eastAsia="方正仿宋简体" w:cs="Times New Roman"/>
          <w:sz w:val="32"/>
          <w:szCs w:val="32"/>
        </w:rPr>
        <w:fldChar w:fldCharType="end"/>
      </w:r>
    </w:p>
    <w:p w14:paraId="7B210DA0">
      <w:pPr>
        <w:pStyle w:val="19"/>
        <w:tabs>
          <w:tab w:val="right" w:leader="dot" w:pos="8828"/>
        </w:tabs>
        <w:spacing w:line="590" w:lineRule="exact"/>
        <w:rPr>
          <w:rFonts w:hAnsiTheme="minorHAnsi" w:eastAsiaTheme="minorEastAsia" w:cstheme="minorBidi"/>
          <w:smallCaps w:val="0"/>
          <w:kern w:val="2"/>
          <w:sz w:val="32"/>
          <w:szCs w:val="32"/>
        </w:rPr>
      </w:pPr>
      <w:r>
        <w:rPr>
          <w:rFonts w:ascii="Times New Roman" w:hAnsi="Times New Roman" w:eastAsia="方正仿宋简体" w:cs="Times New Roman"/>
          <w:color w:val="000000" w:themeColor="text1"/>
          <w:sz w:val="32"/>
          <w:szCs w:val="32"/>
          <w14:textFill>
            <w14:solidFill>
              <w14:schemeClr w14:val="tx1"/>
            </w14:solidFill>
          </w14:textFill>
        </w:rPr>
        <w:t>第四节 完善党和国家监督体系</w:t>
      </w: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fldChar w:fldCharType="begin"/>
      </w:r>
      <w:r>
        <w:rPr>
          <w:rFonts w:ascii="Times New Roman" w:hAnsi="Times New Roman" w:eastAsia="方正仿宋简体" w:cs="Times New Roman"/>
          <w:sz w:val="32"/>
          <w:szCs w:val="32"/>
        </w:rPr>
        <w:instrText xml:space="preserve"> PAGEREF _Toc74035537 \h </w:instrText>
      </w:r>
      <w:r>
        <w:rPr>
          <w:rFonts w:ascii="Times New Roman" w:hAnsi="Times New Roman" w:eastAsia="方正仿宋简体" w:cs="Times New Roman"/>
          <w:sz w:val="32"/>
          <w:szCs w:val="32"/>
        </w:rPr>
        <w:fldChar w:fldCharType="separate"/>
      </w:r>
      <w:r>
        <w:rPr>
          <w:rFonts w:ascii="Times New Roman" w:hAnsi="Times New Roman" w:eastAsia="方正仿宋简体" w:cs="Times New Roman"/>
          <w:sz w:val="32"/>
          <w:szCs w:val="32"/>
        </w:rPr>
        <w:t>106</w:t>
      </w:r>
      <w:r>
        <w:rPr>
          <w:rFonts w:ascii="Times New Roman" w:hAnsi="Times New Roman" w:eastAsia="方正仿宋简体" w:cs="Times New Roman"/>
          <w:sz w:val="32"/>
          <w:szCs w:val="32"/>
        </w:rPr>
        <w:fldChar w:fldCharType="end"/>
      </w:r>
    </w:p>
    <w:p w14:paraId="6A240CB9">
      <w:pPr>
        <w:widowControl w:val="0"/>
        <w:spacing w:line="590" w:lineRule="exact"/>
        <w:rPr>
          <w:rFonts w:ascii="Times New Roman" w:hAnsi="Times New Roman" w:eastAsia="方正仿宋简体" w:cs="Times New Roman"/>
          <w:color w:val="000000" w:themeColor="text1"/>
          <w:sz w:val="32"/>
          <w:szCs w:val="32"/>
          <w14:textFill>
            <w14:solidFill>
              <w14:schemeClr w14:val="tx1"/>
            </w14:solidFill>
          </w14:textFill>
        </w:rPr>
      </w:pPr>
      <w:r>
        <w:rPr>
          <w:rFonts w:eastAsia="方正仿宋简体" w:asciiTheme="minorHAnsi"/>
          <w:b/>
          <w:bCs/>
          <w:caps/>
          <w:kern w:val="2"/>
          <w:sz w:val="32"/>
          <w:szCs w:val="32"/>
        </w:rPr>
        <w:fldChar w:fldCharType="end"/>
      </w:r>
    </w:p>
    <w:p w14:paraId="3F8AD71F">
      <w:pPr>
        <w:widowControl w:val="0"/>
        <w:spacing w:line="590" w:lineRule="exact"/>
        <w:ind w:firstLine="640"/>
        <w:rPr>
          <w:rFonts w:ascii="Times New Roman" w:hAnsi="Times New Roman" w:eastAsia="方正仿宋简体" w:cs="Times New Roman"/>
          <w:color w:val="000000" w:themeColor="text1"/>
          <w:sz w:val="32"/>
          <w:szCs w:val="32"/>
          <w14:textFill>
            <w14:solidFill>
              <w14:schemeClr w14:val="tx1"/>
            </w14:solidFill>
          </w14:textFill>
        </w:rPr>
      </w:pPr>
    </w:p>
    <w:p w14:paraId="1AB9B7B5">
      <w:pPr>
        <w:widowControl w:val="0"/>
        <w:spacing w:line="590" w:lineRule="exact"/>
        <w:ind w:firstLine="640"/>
        <w:rPr>
          <w:rFonts w:ascii="Times New Roman" w:hAnsi="Times New Roman" w:eastAsia="方正仿宋简体" w:cs="Times New Roman"/>
          <w:color w:val="000000" w:themeColor="text1"/>
          <w:sz w:val="32"/>
          <w:szCs w:val="32"/>
          <w14:textFill>
            <w14:solidFill>
              <w14:schemeClr w14:val="tx1"/>
            </w14:solidFill>
          </w14:textFill>
        </w:rPr>
      </w:pPr>
    </w:p>
    <w:p w14:paraId="49E0AD32">
      <w:pPr>
        <w:widowControl w:val="0"/>
        <w:spacing w:line="590" w:lineRule="exact"/>
        <w:ind w:firstLine="640"/>
        <w:rPr>
          <w:rFonts w:ascii="Times New Roman" w:hAnsi="Times New Roman" w:eastAsia="方正仿宋简体" w:cs="Times New Roman"/>
          <w:color w:val="000000" w:themeColor="text1"/>
          <w:sz w:val="32"/>
          <w:szCs w:val="32"/>
          <w14:textFill>
            <w14:solidFill>
              <w14:schemeClr w14:val="tx1"/>
            </w14:solidFill>
          </w14:textFill>
        </w:rPr>
      </w:pPr>
    </w:p>
    <w:p w14:paraId="7BBF4F8B">
      <w:pPr>
        <w:widowControl w:val="0"/>
        <w:spacing w:line="590" w:lineRule="exact"/>
        <w:ind w:firstLine="640"/>
        <w:rPr>
          <w:rFonts w:ascii="Times New Roman" w:hAnsi="Times New Roman" w:eastAsia="方正仿宋简体" w:cs="Times New Roman"/>
          <w:color w:val="000000" w:themeColor="text1"/>
          <w:sz w:val="32"/>
          <w:szCs w:val="32"/>
          <w14:textFill>
            <w14:solidFill>
              <w14:schemeClr w14:val="tx1"/>
            </w14:solidFill>
          </w14:textFill>
        </w:rPr>
      </w:pPr>
    </w:p>
    <w:p w14:paraId="3FB7A0C9">
      <w:pPr>
        <w:widowControl w:val="0"/>
        <w:spacing w:line="590" w:lineRule="exact"/>
        <w:ind w:firstLine="640"/>
        <w:rPr>
          <w:rFonts w:ascii="Times New Roman" w:hAnsi="Times New Roman" w:eastAsia="方正仿宋简体" w:cs="Times New Roman"/>
          <w:color w:val="000000" w:themeColor="text1"/>
          <w:sz w:val="32"/>
          <w:szCs w:val="32"/>
          <w14:textFill>
            <w14:solidFill>
              <w14:schemeClr w14:val="tx1"/>
            </w14:solidFill>
          </w14:textFill>
        </w:rPr>
      </w:pPr>
    </w:p>
    <w:p w14:paraId="757601B1">
      <w:pPr>
        <w:widowControl w:val="0"/>
        <w:spacing w:line="590" w:lineRule="exact"/>
        <w:ind w:firstLine="640"/>
        <w:rPr>
          <w:rFonts w:ascii="Times New Roman" w:hAnsi="Times New Roman" w:eastAsia="方正仿宋简体" w:cs="Times New Roman"/>
          <w:color w:val="000000" w:themeColor="text1"/>
          <w:sz w:val="32"/>
          <w:szCs w:val="32"/>
          <w14:textFill>
            <w14:solidFill>
              <w14:schemeClr w14:val="tx1"/>
            </w14:solidFill>
          </w14:textFill>
        </w:rPr>
      </w:pPr>
    </w:p>
    <w:p w14:paraId="4098EBC1">
      <w:pPr>
        <w:widowControl w:val="0"/>
        <w:spacing w:line="590" w:lineRule="exact"/>
        <w:ind w:firstLine="64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本规划纲要根据《中共鲤城区委关于制定鲤城区国民经济和社会发展第十四个五年规划和二</w:t>
      </w:r>
      <w:r>
        <w:rPr>
          <w:rFonts w:hint="eastAsia" w:ascii="Times New Roman" w:hAnsi="Times New Roman" w:eastAsia="仿宋"/>
          <w:color w:val="000000" w:themeColor="text1"/>
          <w:sz w:val="32"/>
          <w:szCs w:val="32"/>
          <w14:textFill>
            <w14:solidFill>
              <w14:schemeClr w14:val="tx1"/>
            </w14:solidFill>
          </w14:textFill>
        </w:rPr>
        <w:t>〇</w:t>
      </w:r>
      <w:r>
        <w:rPr>
          <w:rFonts w:hint="eastAsia" w:ascii="Times New Roman" w:hAnsi="Times New Roman" w:eastAsia="方正仿宋简体"/>
          <w:color w:val="000000" w:themeColor="text1"/>
          <w:sz w:val="32"/>
          <w:szCs w:val="32"/>
          <w14:textFill>
            <w14:solidFill>
              <w14:schemeClr w14:val="tx1"/>
            </w14:solidFill>
          </w14:textFill>
        </w:rPr>
        <w:t>三五年远景目标的建议》编制而成，主要阐明未来五年鲤城区国民经济和社会发展的总体谋划和战略部署，是政府履行宏观调控、市场监督、社会治理、公共服务和环境保护等职责的重要依据，是组织和团结全区人民共同奋斗的宏伟蓝图和行动纲领。</w:t>
      </w:r>
    </w:p>
    <w:p w14:paraId="351CC33B">
      <w:pPr>
        <w:widowControl w:val="0"/>
        <w:spacing w:line="590" w:lineRule="exact"/>
        <w:ind w:firstLine="640"/>
        <w:rPr>
          <w:rFonts w:ascii="Times New Roman" w:hAnsi="Times New Roman" w:eastAsia="方正仿宋简体"/>
          <w:color w:val="000000" w:themeColor="text1"/>
          <w:sz w:val="32"/>
          <w:szCs w:val="32"/>
          <w14:textFill>
            <w14:solidFill>
              <w14:schemeClr w14:val="tx1"/>
            </w14:solidFill>
          </w14:textFill>
        </w:rPr>
      </w:pPr>
    </w:p>
    <w:p w14:paraId="7E3AA4B4">
      <w:pPr>
        <w:pStyle w:val="2"/>
        <w:spacing w:after="0" w:line="590" w:lineRule="exact"/>
        <w:ind w:firstLine="0" w:firstLineChars="0"/>
        <w:jc w:val="center"/>
        <w:rPr>
          <w:rFonts w:ascii="Times New Roman" w:hAnsi="Times New Roman" w:eastAsia="方正黑体简体"/>
          <w:b w:val="0"/>
          <w:color w:val="000000" w:themeColor="text1"/>
          <w:sz w:val="36"/>
          <w14:textFill>
            <w14:solidFill>
              <w14:schemeClr w14:val="tx1"/>
            </w14:solidFill>
          </w14:textFill>
        </w:rPr>
      </w:pPr>
      <w:bookmarkStart w:id="9" w:name="_Toc73976131"/>
      <w:bookmarkStart w:id="10" w:name="_Toc59811645"/>
      <w:bookmarkStart w:id="11" w:name="_Toc74035483"/>
      <w:r>
        <w:rPr>
          <w:rFonts w:hint="eastAsia" w:ascii="Times New Roman" w:hAnsi="Times New Roman" w:eastAsia="方正黑体简体"/>
          <w:b w:val="0"/>
          <w:color w:val="000000" w:themeColor="text1"/>
          <w:sz w:val="36"/>
          <w14:textFill>
            <w14:solidFill>
              <w14:schemeClr w14:val="tx1"/>
            </w14:solidFill>
          </w14:textFill>
        </w:rPr>
        <w:t>第一章 规划基础与发展环境</w:t>
      </w:r>
      <w:bookmarkEnd w:id="9"/>
      <w:bookmarkEnd w:id="10"/>
      <w:bookmarkEnd w:id="11"/>
    </w:p>
    <w:p w14:paraId="583FE9DF"/>
    <w:p w14:paraId="6EF46D61">
      <w:pPr>
        <w:widowControl w:val="0"/>
        <w:spacing w:line="590" w:lineRule="exact"/>
        <w:ind w:firstLine="640" w:firstLineChars="200"/>
        <w:jc w:val="both"/>
        <w:rPr>
          <w:rStyle w:val="38"/>
          <w:rFonts w:ascii="Times New Roman" w:hAnsi="Times New Roman" w:eastAsia="方正仿宋简体" w:cs="Times New Roman"/>
          <w:color w:val="000000" w:themeColor="text1"/>
          <w:sz w:val="32"/>
          <w:szCs w:val="32"/>
          <w14:textFill>
            <w14:solidFill>
              <w14:schemeClr w14:val="tx1"/>
            </w14:solidFill>
          </w14:textFill>
        </w:rPr>
      </w:pPr>
      <w:bookmarkStart w:id="12" w:name="_Toc47271653"/>
      <w:bookmarkStart w:id="13" w:name="_Toc47211486"/>
      <w:r>
        <w:rPr>
          <w:rStyle w:val="38"/>
          <w:rFonts w:hint="eastAsia" w:ascii="Times New Roman" w:hAnsi="Times New Roman" w:eastAsia="方正仿宋简体" w:cs="Times New Roman"/>
          <w:color w:val="000000" w:themeColor="text1"/>
          <w:sz w:val="32"/>
          <w:szCs w:val="32"/>
          <w14:textFill>
            <w14:solidFill>
              <w14:schemeClr w14:val="tx1"/>
            </w14:solidFill>
          </w14:textFill>
        </w:rPr>
        <w:t>“十四五”时期（2021-2025）是世界百年未有之大变局的深度演化期，是我国全面建成小康社会、实现第一个百年奋斗目标之后，乘势而上开启全面建设社会主义现代化国家新征程、向第二个百年奋斗目标进军的第一个五年，也是鲤城在新发展阶段</w:t>
      </w:r>
      <w:r>
        <w:rPr>
          <w:rFonts w:hint="eastAsia" w:ascii="Times New Roman" w:hAnsi="Times New Roman" w:eastAsia="方正仿宋简体"/>
          <w:color w:val="000000" w:themeColor="text1"/>
          <w:sz w:val="32"/>
          <w:szCs w:val="32"/>
          <w14:textFill>
            <w14:solidFill>
              <w14:schemeClr w14:val="tx1"/>
            </w14:solidFill>
          </w14:textFill>
        </w:rPr>
        <w:t>贯彻新发展理念，全面提升发展水平战略机遇期，是</w:t>
      </w:r>
      <w:r>
        <w:rPr>
          <w:rStyle w:val="38"/>
          <w:rFonts w:hint="eastAsia" w:ascii="Times New Roman" w:hAnsi="Times New Roman" w:eastAsia="方正仿宋简体" w:cs="Times New Roman"/>
          <w:color w:val="000000" w:themeColor="text1"/>
          <w:sz w:val="32"/>
          <w:szCs w:val="32"/>
          <w14:textFill>
            <w14:solidFill>
              <w14:schemeClr w14:val="tx1"/>
            </w14:solidFill>
          </w14:textFill>
        </w:rPr>
        <w:t>调整产业结构和优化区域功能关键过渡期，是加快城市更新与建设拓展攻坚期，是破解发展难题、增强发展新动能、提升核心竞争力的优势重塑期。总结“十三五”规划实施情况，深入分析“十四五”时期鲤城发展基础与环境、机遇与挑战，研究提出“十四五”经济社会发展基本思路和实践路径，对于推动鲤城开启社会主义现代化新征程，担当全方位高质量发展超越主力军，助力社会主义现代化强区建设等方面具有十分重要意义。</w:t>
      </w:r>
    </w:p>
    <w:p w14:paraId="68B03C33">
      <w:pPr>
        <w:widowControl w:val="0"/>
        <w:spacing w:line="590" w:lineRule="exact"/>
        <w:ind w:firstLine="640" w:firstLineChars="200"/>
        <w:jc w:val="both"/>
        <w:rPr>
          <w:rStyle w:val="38"/>
          <w:rFonts w:ascii="Times New Roman" w:hAnsi="Times New Roman" w:eastAsia="方正仿宋简体" w:cs="Times New Roman"/>
          <w:color w:val="000000" w:themeColor="text1"/>
          <w:sz w:val="32"/>
          <w:szCs w:val="32"/>
          <w14:textFill>
            <w14:solidFill>
              <w14:schemeClr w14:val="tx1"/>
            </w14:solidFill>
          </w14:textFill>
        </w:rPr>
      </w:pPr>
    </w:p>
    <w:p w14:paraId="4FE97D77">
      <w:pPr>
        <w:pStyle w:val="3"/>
        <w:keepNext w:val="0"/>
        <w:keepLines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14" w:name="_Toc73976132"/>
      <w:bookmarkStart w:id="15" w:name="_Toc59811646"/>
    </w:p>
    <w:p w14:paraId="1C00E860">
      <w:pPr>
        <w:pStyle w:val="3"/>
        <w:keepNext w:val="0"/>
        <w:keepLines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16" w:name="_Toc74035484"/>
      <w:r>
        <w:rPr>
          <w:rFonts w:hint="eastAsia" w:ascii="黑体" w:hAnsi="黑体" w:eastAsia="黑体" w:cs="Times New Roman (标题 CS)"/>
          <w:b w:val="0"/>
          <w:color w:val="000000" w:themeColor="text1"/>
          <w14:textFill>
            <w14:solidFill>
              <w14:schemeClr w14:val="tx1"/>
            </w14:solidFill>
          </w14:textFill>
        </w:rPr>
        <w:t>第一节</w:t>
      </w:r>
      <w:bookmarkEnd w:id="12"/>
      <w:bookmarkEnd w:id="13"/>
      <w:r>
        <w:rPr>
          <w:rFonts w:hint="eastAsia" w:ascii="黑体" w:hAnsi="黑体" w:eastAsia="黑体" w:cs="Times New Roman (标题 CS)"/>
          <w:b w:val="0"/>
          <w:color w:val="000000" w:themeColor="text1"/>
          <w14:textFill>
            <w14:solidFill>
              <w14:schemeClr w14:val="tx1"/>
            </w14:solidFill>
          </w14:textFill>
        </w:rPr>
        <w:t xml:space="preserve"> “十三五”时期经济社会发展回顾</w:t>
      </w:r>
      <w:bookmarkEnd w:id="14"/>
      <w:bookmarkEnd w:id="15"/>
      <w:bookmarkEnd w:id="16"/>
    </w:p>
    <w:p w14:paraId="5B592B91">
      <w:pPr>
        <w:spacing w:line="590" w:lineRule="exact"/>
      </w:pPr>
    </w:p>
    <w:p w14:paraId="627D91D4">
      <w:pPr>
        <w:widowControl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十三五”时期是鲤城巩固基础、扩大规模、提升效益、推进转型的重要五年，面对错综复杂的外部环境和新冠肺炎疫情冲击，区委、区政府带领全区干部群众，围绕建设创新型和谐文化名城，着力打造生态宜居之城、都市产业高地、科技创新先行区和多元文化保护传承示范区。全区综合实力稳步提升，在经济建设、政治建设、文化建设、社会建设、生态文明建设和党的建设等领域取得显著进展。</w:t>
      </w:r>
    </w:p>
    <w:bookmarkEnd w:id="7"/>
    <w:bookmarkEnd w:id="8"/>
    <w:p w14:paraId="222AE3E3">
      <w:pPr>
        <w:widowControl w:val="0"/>
        <w:spacing w:line="590" w:lineRule="exact"/>
        <w:ind w:firstLine="643" w:firstLineChars="200"/>
        <w:jc w:val="both"/>
        <w:rPr>
          <w:rFonts w:ascii="Times New Roman" w:hAnsi="Times New Roman" w:eastAsia="方正楷体简体"/>
          <w:b/>
          <w:color w:val="000000" w:themeColor="text1"/>
          <w:sz w:val="32"/>
          <w:szCs w:val="32"/>
          <w14:textFill>
            <w14:solidFill>
              <w14:schemeClr w14:val="tx1"/>
            </w14:solidFill>
          </w14:textFill>
        </w:rPr>
      </w:pPr>
      <w:bookmarkStart w:id="17" w:name="_Toc56352987"/>
      <w:r>
        <w:rPr>
          <w:rFonts w:hint="eastAsia" w:ascii="Times New Roman" w:hAnsi="Times New Roman" w:eastAsia="方正楷体简体"/>
          <w:b/>
          <w:color w:val="000000" w:themeColor="text1"/>
          <w:sz w:val="32"/>
          <w:szCs w:val="32"/>
          <w14:textFill>
            <w14:solidFill>
              <w14:schemeClr w14:val="tx1"/>
            </w14:solidFill>
          </w14:textFill>
        </w:rPr>
        <w:t>（一）经济综合实力实现新跨越</w:t>
      </w:r>
      <w:bookmarkEnd w:id="17"/>
    </w:p>
    <w:p w14:paraId="14B2A862">
      <w:pPr>
        <w:widowControl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积极适应经济发展新常态，主动把经济下行压力转化为结构调整动力，区域经济保持平稳增长，实现提质增效。到“十三五”末，经济总量达438.08亿元，年均增长</w:t>
      </w:r>
      <w:r>
        <w:rPr>
          <w:rFonts w:ascii="Times New Roman" w:hAnsi="Times New Roman" w:eastAsia="方正仿宋简体"/>
          <w:color w:val="000000" w:themeColor="text1"/>
          <w:sz w:val="32"/>
          <w:szCs w:val="32"/>
          <w14:textFill>
            <w14:solidFill>
              <w14:schemeClr w14:val="tx1"/>
            </w14:solidFill>
          </w14:textFill>
        </w:rPr>
        <w:t>6.95</w:t>
      </w:r>
      <w:r>
        <w:rPr>
          <w:rFonts w:hint="eastAsia" w:ascii="Times New Roman" w:hAnsi="Times New Roman" w:eastAsia="方正仿宋简体"/>
          <w:color w:val="000000" w:themeColor="text1"/>
          <w:sz w:val="32"/>
          <w:szCs w:val="32"/>
          <w14:textFill>
            <w14:solidFill>
              <w14:schemeClr w14:val="tx1"/>
            </w14:solidFill>
          </w14:textFill>
        </w:rPr>
        <w:t>%，人均</w:t>
      </w:r>
      <w:r>
        <w:rPr>
          <w:rFonts w:ascii="Times New Roman" w:hAnsi="Times New Roman" w:eastAsia="方正仿宋简体"/>
          <w:color w:val="000000" w:themeColor="text1"/>
          <w:sz w:val="32"/>
          <w:szCs w:val="32"/>
          <w14:textFill>
            <w14:solidFill>
              <w14:schemeClr w14:val="tx1"/>
            </w14:solidFill>
          </w14:textFill>
        </w:rPr>
        <w:t>GDP</w:t>
      </w:r>
      <w:r>
        <w:rPr>
          <w:rFonts w:hint="eastAsia" w:ascii="Times New Roman" w:hAnsi="Times New Roman" w:eastAsia="方正仿宋简体"/>
          <w:color w:val="000000" w:themeColor="text1"/>
          <w:sz w:val="32"/>
          <w:szCs w:val="32"/>
          <w14:textFill>
            <w14:solidFill>
              <w14:schemeClr w14:val="tx1"/>
            </w14:solidFill>
          </w14:textFill>
        </w:rPr>
        <w:t>超</w:t>
      </w:r>
      <w:r>
        <w:rPr>
          <w:rFonts w:ascii="Times New Roman" w:hAnsi="Times New Roman" w:eastAsia="方正仿宋简体"/>
          <w:color w:val="000000" w:themeColor="text1"/>
          <w:sz w:val="32"/>
          <w:szCs w:val="32"/>
          <w14:textFill>
            <w14:solidFill>
              <w14:schemeClr w14:val="tx1"/>
            </w14:solidFill>
          </w14:textFill>
        </w:rPr>
        <w:t>11</w:t>
      </w:r>
      <w:r>
        <w:rPr>
          <w:rFonts w:hint="eastAsia" w:ascii="Times New Roman" w:hAnsi="Times New Roman" w:eastAsia="方正仿宋简体"/>
          <w:color w:val="000000" w:themeColor="text1"/>
          <w:sz w:val="32"/>
          <w:szCs w:val="32"/>
          <w14:textFill>
            <w14:solidFill>
              <w14:schemeClr w14:val="tx1"/>
            </w14:solidFill>
          </w14:textFill>
        </w:rPr>
        <w:t>万元；财税收入保持稳定，一般公共预算总收入实现20.24亿元，年均增长2.1%，一般公共预算收入实现12.28亿元，年均增长2.8%；内需拉动作用增强，社会消费品零售总额实现235.55亿元，年均增长8.1%。“十三五”规划确定的主要目标和任务均较好完成，城市战略地位和综合实力稳步提升。</w:t>
      </w:r>
    </w:p>
    <w:p w14:paraId="2AE082A5">
      <w:pPr>
        <w:widowControl w:val="0"/>
        <w:spacing w:line="590" w:lineRule="exact"/>
        <w:ind w:firstLine="643" w:firstLineChars="200"/>
        <w:jc w:val="both"/>
        <w:rPr>
          <w:rFonts w:ascii="Times New Roman" w:hAnsi="Times New Roman" w:eastAsia="方正楷体简体"/>
          <w:b/>
          <w:color w:val="000000" w:themeColor="text1"/>
          <w:sz w:val="32"/>
          <w:szCs w:val="32"/>
          <w14:textFill>
            <w14:solidFill>
              <w14:schemeClr w14:val="tx1"/>
            </w14:solidFill>
          </w14:textFill>
        </w:rPr>
      </w:pPr>
      <w:bookmarkStart w:id="18" w:name="_Toc56352988"/>
      <w:r>
        <w:rPr>
          <w:rFonts w:hint="eastAsia" w:ascii="Times New Roman" w:hAnsi="Times New Roman" w:eastAsia="方正楷体简体"/>
          <w:b/>
          <w:color w:val="000000" w:themeColor="text1"/>
          <w:sz w:val="32"/>
          <w:szCs w:val="32"/>
          <w14:textFill>
            <w14:solidFill>
              <w14:schemeClr w14:val="tx1"/>
            </w14:solidFill>
          </w14:textFill>
        </w:rPr>
        <w:t>（二）产业结构优化迈出新步伐</w:t>
      </w:r>
      <w:bookmarkEnd w:id="18"/>
    </w:p>
    <w:p w14:paraId="2AEDD99E">
      <w:pPr>
        <w:widowControl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三次产业协调发展，2020年全区三次产业比例由2015年的0.05：43.35：56.61调整为0.05：36.18：63.77，产业结构更趋合理。产业集群竞争力增强，建成纺织鞋服1个产值超200亿的产业集群；企业成长培育加快，产值超亿元企业达84家，其中，超10亿元企业8家；高新产业引领作用增强，高新技术产业产值占全区规模以上工业总产值比重达41.4%。服务经济作为鲤城发展的“首位经济”，占GDP比重较2015年提高7.16个百分点。现代服务业扩量提质，新增省级、市级现代服务业集聚示范区各1个。现代商贸服务发展加快，限上电子商务零售额年均增长</w:t>
      </w:r>
      <w:r>
        <w:rPr>
          <w:rFonts w:ascii="Times New Roman" w:hAnsi="Times New Roman" w:eastAsia="方正仿宋简体"/>
          <w:color w:val="000000" w:themeColor="text1"/>
          <w:sz w:val="32"/>
          <w:szCs w:val="32"/>
          <w14:textFill>
            <w14:solidFill>
              <w14:schemeClr w14:val="tx1"/>
            </w14:solidFill>
          </w14:textFill>
        </w:rPr>
        <w:t>30.6</w:t>
      </w:r>
      <w:r>
        <w:rPr>
          <w:rFonts w:hint="eastAsia" w:ascii="Times New Roman" w:hAnsi="Times New Roman" w:eastAsia="方正仿宋简体"/>
          <w:color w:val="000000" w:themeColor="text1"/>
          <w:sz w:val="32"/>
          <w:szCs w:val="32"/>
          <w14:textFill>
            <w14:solidFill>
              <w14:schemeClr w14:val="tx1"/>
            </w14:solidFill>
          </w14:textFill>
        </w:rPr>
        <w:t>%，南环路汽车贸易走廊销售额突破120亿元，占全市汽车贸易额的比重达三分之一。</w:t>
      </w:r>
    </w:p>
    <w:p w14:paraId="529E9DE2">
      <w:pPr>
        <w:widowControl w:val="0"/>
        <w:spacing w:line="590" w:lineRule="exact"/>
        <w:ind w:firstLine="643" w:firstLineChars="200"/>
        <w:jc w:val="both"/>
        <w:rPr>
          <w:rFonts w:ascii="Times New Roman" w:hAnsi="Times New Roman" w:eastAsia="方正楷体简体"/>
          <w:b/>
          <w:color w:val="000000" w:themeColor="text1"/>
          <w:sz w:val="32"/>
          <w:szCs w:val="32"/>
          <w14:textFill>
            <w14:solidFill>
              <w14:schemeClr w14:val="tx1"/>
            </w14:solidFill>
          </w14:textFill>
        </w:rPr>
      </w:pPr>
      <w:bookmarkStart w:id="19" w:name="_Toc56352989"/>
      <w:r>
        <w:rPr>
          <w:rFonts w:hint="eastAsia" w:ascii="Times New Roman" w:hAnsi="Times New Roman" w:eastAsia="方正楷体简体"/>
          <w:b/>
          <w:color w:val="000000" w:themeColor="text1"/>
          <w:sz w:val="32"/>
          <w:szCs w:val="32"/>
          <w14:textFill>
            <w14:solidFill>
              <w14:schemeClr w14:val="tx1"/>
            </w14:solidFill>
          </w14:textFill>
        </w:rPr>
        <w:t>（三）科技创新培育发展新动力</w:t>
      </w:r>
      <w:bookmarkEnd w:id="19"/>
    </w:p>
    <w:p w14:paraId="45A56472">
      <w:pPr>
        <w:widowControl w:val="0"/>
        <w:spacing w:line="590" w:lineRule="exact"/>
        <w:ind w:firstLine="640" w:firstLineChars="200"/>
        <w:jc w:val="both"/>
        <w:rPr>
          <w:rFonts w:ascii="Times New Roman" w:hAnsi="Times New Roman" w:eastAsia="方正仿宋简体" w:cs="仿宋_GB2312"/>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创新驱动战略扎实推进，创新型城区建设步伐不断加快，制造业创新、两化融合能力持续加强，2020年R&amp;D经费支出占GDP比重（错年数）达0.82%。企业自主创新能力持续提升，累计增加国家高新技术企业37家，新增省级高新技术企业入库备案71家、省级科技小巨人领军企业39家。产学研深度融合，新增省级新型研发机构2家、市级新型研发机构9家，新增省级工程技术研究中心1个、市级工程技术中心1个。“大众创业万众创新”进一步深化，建成众创空间8家，其中省级5家，新增市级以上科技企业孵化器2家。高新区在全市“一区多园”考核中实现三连冠。知识产权工作量质齐升，获评2017年全国知识产权最具影响力县域；2020年每万人口发明专利拥有量达12.95件，较2015年增加6.46件。</w:t>
      </w:r>
    </w:p>
    <w:p w14:paraId="5AD148DD">
      <w:pPr>
        <w:widowControl w:val="0"/>
        <w:spacing w:line="590" w:lineRule="exact"/>
        <w:ind w:firstLine="643" w:firstLineChars="200"/>
        <w:jc w:val="both"/>
        <w:rPr>
          <w:rFonts w:ascii="Times New Roman" w:hAnsi="Times New Roman" w:eastAsia="方正楷体简体"/>
          <w:b/>
          <w:color w:val="000000" w:themeColor="text1"/>
          <w:sz w:val="32"/>
          <w:szCs w:val="32"/>
          <w14:textFill>
            <w14:solidFill>
              <w14:schemeClr w14:val="tx1"/>
            </w14:solidFill>
          </w14:textFill>
        </w:rPr>
      </w:pPr>
      <w:bookmarkStart w:id="20" w:name="_Toc56352990"/>
      <w:r>
        <w:rPr>
          <w:rFonts w:hint="eastAsia" w:ascii="Times New Roman" w:hAnsi="Times New Roman" w:eastAsia="方正楷体简体"/>
          <w:b/>
          <w:color w:val="000000" w:themeColor="text1"/>
          <w:sz w:val="32"/>
          <w:szCs w:val="32"/>
          <w14:textFill>
            <w14:solidFill>
              <w14:schemeClr w14:val="tx1"/>
            </w14:solidFill>
          </w14:textFill>
        </w:rPr>
        <w:t>（四）文化引领彰显城市新魅力</w:t>
      </w:r>
      <w:bookmarkEnd w:id="20"/>
    </w:p>
    <w:p w14:paraId="75D9A6C5">
      <w:pPr>
        <w:widowControl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深入挖掘古城文化资源，按照“保护性开发、创意性改造、传承性融合”的思路，陆续建设源和1916文化创意产业园、泉州新门片区“三创园”、刺桐时代村、东亚之窗文创园等一批文化产业园区（街区），初步形成文化产业集聚效应。培育国家级动漫企业1家、国家4A级景区2个、5A级旅行社2家、国家级工业遗产1项，省级以上文化产业示范基地3家，市级文化产业示范基地17家。“泉州古城文化生态旅游度假区”获评省级旅游度假区。公共文化服务体系建设持续深化，建成闽南文化生态保护区影音展示馆、城南非遗中心展馆、6个“百姓书房”，改造提升8个社区综合文化服务中心示范点，先后打造“刺桐文化广场”“古韵鲤城·公益分享”等文艺活动品牌，常态化举办海丝古城徒步穿越等各类活动，城市文化影响力持续提升，2016-2020年累计接待游客总量3388.2万人次、年均增长7.87%，实现旅游总收入457亿元，年均增长10.9%</w:t>
      </w:r>
      <w:r>
        <w:rPr>
          <w:rStyle w:val="34"/>
          <w:rFonts w:ascii="Times New Roman" w:hAnsi="Times New Roman" w:eastAsia="方正仿宋简体"/>
          <w:color w:val="000000" w:themeColor="text1"/>
          <w:sz w:val="32"/>
          <w:szCs w:val="32"/>
          <w14:textFill>
            <w14:solidFill>
              <w14:schemeClr w14:val="tx1"/>
            </w14:solidFill>
          </w14:textFill>
        </w:rPr>
        <w:footnoteReference w:id="0"/>
      </w:r>
      <w:r>
        <w:rPr>
          <w:rFonts w:hint="eastAsia" w:ascii="Times New Roman" w:hAnsi="Times New Roman" w:eastAsia="方正仿宋简体"/>
          <w:color w:val="000000" w:themeColor="text1"/>
          <w:sz w:val="32"/>
          <w:szCs w:val="32"/>
          <w14:textFill>
            <w14:solidFill>
              <w14:schemeClr w14:val="tx1"/>
            </w14:solidFill>
          </w14:textFill>
        </w:rPr>
        <w:t>。</w:t>
      </w:r>
    </w:p>
    <w:p w14:paraId="60F58833">
      <w:pPr>
        <w:widowControl w:val="0"/>
        <w:spacing w:line="590" w:lineRule="exact"/>
        <w:ind w:firstLine="643" w:firstLineChars="200"/>
        <w:jc w:val="both"/>
        <w:rPr>
          <w:rFonts w:ascii="Times New Roman" w:hAnsi="Times New Roman" w:eastAsia="方正楷体简体"/>
          <w:b/>
          <w:color w:val="000000" w:themeColor="text1"/>
          <w:sz w:val="32"/>
          <w:szCs w:val="32"/>
          <w14:textFill>
            <w14:solidFill>
              <w14:schemeClr w14:val="tx1"/>
            </w14:solidFill>
          </w14:textFill>
        </w:rPr>
      </w:pPr>
      <w:bookmarkStart w:id="21" w:name="_Toc56352991"/>
      <w:r>
        <w:rPr>
          <w:rFonts w:hint="eastAsia" w:ascii="Times New Roman" w:hAnsi="Times New Roman" w:eastAsia="方正楷体简体"/>
          <w:b/>
          <w:color w:val="000000" w:themeColor="text1"/>
          <w:sz w:val="32"/>
          <w:szCs w:val="32"/>
          <w14:textFill>
            <w14:solidFill>
              <w14:schemeClr w14:val="tx1"/>
            </w14:solidFill>
          </w14:textFill>
        </w:rPr>
        <w:t>（五）城市建设呈现繁荣新面貌</w:t>
      </w:r>
      <w:bookmarkEnd w:id="21"/>
    </w:p>
    <w:p w14:paraId="6F9E5214">
      <w:pPr>
        <w:widowControl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以片区开发、“生态修复、城市修补”“美丽社区”建设为抓手，大力推进城市保护更新。实施古城保护提升计划，开展生态文明创建、城市修补试点工作，配合抓好“七个一”示范工程，完成“生态修复、城市修补”项目9个、旧厂房改造项目15个；完成老旧小区改造39个、老城区背街小巷破损修补37条。在“润物细无声”的微改造中，古大厝修旧如旧，古街巷活化保护，古城逐步成为见人见物见生活的“活样本”。新区江滨南路沿线片区初步成型，站前大道两侧片区、繁荣大道片区、兴贤路中段片区等改造项目启动建设，交通路网优化提升。生态环境更加优质，完成南北二路渠、繁荣渠、霞洲引港等沟渠治理工程，新增绿化面积约9万平方米，改造绿化面积约15.48万平方米，城市绿化覆盖率达到43.2%；获评国家生态文明建设示范区，金山社区成为全市首个市级“低碳社区”，“十三五”确定的各项减排任务和环保目标顺利完成。</w:t>
      </w:r>
    </w:p>
    <w:p w14:paraId="0B1AADCC">
      <w:pPr>
        <w:widowControl w:val="0"/>
        <w:spacing w:line="590" w:lineRule="exact"/>
        <w:ind w:firstLine="643" w:firstLineChars="200"/>
        <w:jc w:val="both"/>
        <w:rPr>
          <w:rFonts w:ascii="Times New Roman" w:hAnsi="Times New Roman" w:eastAsia="方正楷体简体"/>
          <w:b/>
          <w:color w:val="000000" w:themeColor="text1"/>
          <w:sz w:val="32"/>
          <w:szCs w:val="32"/>
          <w14:textFill>
            <w14:solidFill>
              <w14:schemeClr w14:val="tx1"/>
            </w14:solidFill>
          </w14:textFill>
        </w:rPr>
      </w:pPr>
      <w:r>
        <w:rPr>
          <w:rFonts w:hint="eastAsia" w:ascii="Times New Roman" w:hAnsi="Times New Roman" w:eastAsia="方正楷体简体"/>
          <w:b/>
          <w:color w:val="000000" w:themeColor="text1"/>
          <w:sz w:val="32"/>
          <w:szCs w:val="32"/>
          <w14:textFill>
            <w14:solidFill>
              <w14:schemeClr w14:val="tx1"/>
            </w14:solidFill>
          </w14:textFill>
        </w:rPr>
        <w:t>（六）改革开放迈上跨越新征程</w:t>
      </w:r>
    </w:p>
    <w:p w14:paraId="25BB248B">
      <w:pPr>
        <w:widowControl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稳妥有序推进重点改革事项和关键领域改革任务，较好完成一批国家级和省级改革试点。深化“放管服”改革，10类行政权力事项精简19%，行政许可事项精简50%。持续拓展“不见面”审批服务机制，优化线上政务服务水平，实现全区范围内审批服务事项网上可办率达</w:t>
      </w:r>
      <w:r>
        <w:rPr>
          <w:rFonts w:ascii="Times New Roman" w:hAnsi="Times New Roman" w:eastAsia="方正仿宋简体"/>
          <w:color w:val="000000" w:themeColor="text1"/>
          <w:sz w:val="32"/>
          <w:szCs w:val="32"/>
          <w14:textFill>
            <w14:solidFill>
              <w14:schemeClr w14:val="tx1"/>
            </w14:solidFill>
          </w14:textFill>
        </w:rPr>
        <w:t>90%</w:t>
      </w:r>
      <w:r>
        <w:rPr>
          <w:rFonts w:hint="eastAsia" w:ascii="Times New Roman" w:hAnsi="Times New Roman" w:eastAsia="方正仿宋简体"/>
          <w:color w:val="000000" w:themeColor="text1"/>
          <w:sz w:val="32"/>
          <w:szCs w:val="32"/>
          <w14:textFill>
            <w14:solidFill>
              <w14:schemeClr w14:val="tx1"/>
            </w14:solidFill>
          </w14:textFill>
        </w:rPr>
        <w:t>以上；实行企业开办“一窗通办”服务模式，全面压缩企业开办时限至</w:t>
      </w:r>
      <w:r>
        <w:rPr>
          <w:rFonts w:ascii="Times New Roman" w:hAnsi="Times New Roman" w:eastAsia="方正仿宋简体"/>
          <w:color w:val="000000" w:themeColor="text1"/>
          <w:sz w:val="32"/>
          <w:szCs w:val="32"/>
          <w14:textFill>
            <w14:solidFill>
              <w14:schemeClr w14:val="tx1"/>
            </w14:solidFill>
          </w14:textFill>
        </w:rPr>
        <w:t>1.5</w:t>
      </w:r>
      <w:r>
        <w:rPr>
          <w:rFonts w:hint="eastAsia" w:ascii="Times New Roman" w:hAnsi="Times New Roman" w:eastAsia="方正仿宋简体"/>
          <w:color w:val="000000" w:themeColor="text1"/>
          <w:sz w:val="32"/>
          <w:szCs w:val="32"/>
          <w14:textFill>
            <w14:solidFill>
              <w14:schemeClr w14:val="tx1"/>
            </w14:solidFill>
          </w14:textFill>
        </w:rPr>
        <w:t>个工作日。整合61家区属国有企业、经营类事业单位和集体企业，组建商业、城建、国投、文旅四大集团，整合资产做大国有企业，实现国有资本保值增值。开放型经济新体制基本形成，参与对外经济合作竞争能力和水平明显提升，“鲤城制造”影响力在“一带一路”国家不断扩大，正式与斯里兰卡科特市缔结友城关系。山海协作取得新成果，对口帮扶的明溪县建档立卡贫困人口实现全部脱贫。</w:t>
      </w:r>
    </w:p>
    <w:p w14:paraId="2E3FC794">
      <w:pPr>
        <w:widowControl w:val="0"/>
        <w:spacing w:line="590" w:lineRule="exact"/>
        <w:ind w:firstLine="643" w:firstLineChars="200"/>
        <w:jc w:val="both"/>
        <w:rPr>
          <w:rFonts w:ascii="Times New Roman" w:hAnsi="Times New Roman" w:eastAsia="方正楷体简体"/>
          <w:b/>
          <w:color w:val="000000" w:themeColor="text1"/>
          <w:sz w:val="32"/>
          <w:szCs w:val="32"/>
          <w14:textFill>
            <w14:solidFill>
              <w14:schemeClr w14:val="tx1"/>
            </w14:solidFill>
          </w14:textFill>
        </w:rPr>
      </w:pPr>
      <w:bookmarkStart w:id="22" w:name="_Toc56352992"/>
      <w:r>
        <w:rPr>
          <w:rFonts w:hint="eastAsia" w:ascii="Times New Roman" w:hAnsi="Times New Roman" w:eastAsia="方正楷体简体"/>
          <w:b/>
          <w:color w:val="000000" w:themeColor="text1"/>
          <w:sz w:val="32"/>
          <w:szCs w:val="32"/>
          <w14:textFill>
            <w14:solidFill>
              <w14:schemeClr w14:val="tx1"/>
            </w14:solidFill>
          </w14:textFill>
        </w:rPr>
        <w:t>（七）社会民生开创幸福新格局</w:t>
      </w:r>
      <w:bookmarkEnd w:id="22"/>
    </w:p>
    <w:p w14:paraId="6B00BFD1">
      <w:pPr>
        <w:widowControl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公共服务水平显著提升，持续保障和改善民生，“强基促稳”三年行动、民生“XIN”行动等工作扎实推进，获评全市“强基促稳”工作优秀集体。“十三五”期间完成133个为民办实事项目，实现投资</w:t>
      </w:r>
      <w:r>
        <w:rPr>
          <w:rFonts w:ascii="Times New Roman" w:hAnsi="Times New Roman" w:eastAsia="方正仿宋简体"/>
          <w:color w:val="000000" w:themeColor="text1"/>
          <w:sz w:val="32"/>
          <w:szCs w:val="32"/>
          <w14:textFill>
            <w14:solidFill>
              <w14:schemeClr w14:val="tx1"/>
            </w14:solidFill>
          </w14:textFill>
        </w:rPr>
        <w:t>8.5</w:t>
      </w:r>
      <w:r>
        <w:rPr>
          <w:rFonts w:hint="eastAsia" w:ascii="Times New Roman" w:hAnsi="Times New Roman" w:eastAsia="方正仿宋简体"/>
          <w:color w:val="000000" w:themeColor="text1"/>
          <w:sz w:val="32"/>
          <w:szCs w:val="32"/>
          <w14:textFill>
            <w14:solidFill>
              <w14:schemeClr w14:val="tx1"/>
            </w14:solidFill>
          </w14:textFill>
        </w:rPr>
        <w:t>亿元，社会保障覆盖面进一步扩大，全区参加职工基本养老、医疗、失业、工伤和生育保险人数达10.34万人、6.55万人、4.83万人、7.05万人、5.05万人，城镇登记失业率控制在2%以下。教育质量不断提升，新建中小学校6所、公办幼儿园2所，普惠性幼儿园覆盖率达</w:t>
      </w:r>
      <w:r>
        <w:rPr>
          <w:rFonts w:ascii="Times New Roman" w:hAnsi="Times New Roman" w:eastAsia="方正仿宋简体"/>
          <w:color w:val="000000" w:themeColor="text1"/>
          <w:sz w:val="32"/>
          <w:szCs w:val="32"/>
          <w14:textFill>
            <w14:solidFill>
              <w14:schemeClr w14:val="tx1"/>
            </w14:solidFill>
          </w14:textFill>
        </w:rPr>
        <w:t>87</w:t>
      </w:r>
      <w:r>
        <w:rPr>
          <w:rFonts w:hint="eastAsia" w:ascii="Times New Roman" w:hAnsi="Times New Roman" w:eastAsia="方正仿宋简体"/>
          <w:color w:val="000000" w:themeColor="text1"/>
          <w:sz w:val="32"/>
          <w:szCs w:val="32"/>
          <w14:textFill>
            <w14:solidFill>
              <w14:schemeClr w14:val="tx1"/>
            </w14:solidFill>
          </w14:textFill>
        </w:rPr>
        <w:t>.09</w:t>
      </w:r>
      <w:r>
        <w:rPr>
          <w:rFonts w:ascii="Times New Roman" w:hAnsi="Times New Roman" w:eastAsia="方正仿宋简体"/>
          <w:color w:val="000000" w:themeColor="text1"/>
          <w:sz w:val="32"/>
          <w:szCs w:val="32"/>
          <w14:textFill>
            <w14:solidFill>
              <w14:schemeClr w14:val="tx1"/>
            </w14:solidFill>
          </w14:textFill>
        </w:rPr>
        <w:t>%</w:t>
      </w:r>
      <w:r>
        <w:rPr>
          <w:rFonts w:hint="eastAsia" w:ascii="Times New Roman" w:hAnsi="Times New Roman" w:eastAsia="方正仿宋简体"/>
          <w:color w:val="000000" w:themeColor="text1"/>
          <w:sz w:val="32"/>
          <w:szCs w:val="32"/>
          <w14:textFill>
            <w14:solidFill>
              <w14:schemeClr w14:val="tx1"/>
            </w14:solidFill>
          </w14:textFill>
        </w:rPr>
        <w:t>，教育“两项督导”获优秀等级，获评全省首批教育强区和教育工作先进区。医疗健康领域投入不断加大，街道居家养老服务照料中心实现全覆盖，获评全国首批健康促进区、全国基层中医药工作先进单位、省级慢性病综合防控示范区。建成全民健身路径48条、多功能运动场12个，全民健身迈上新台阶。2017年获评省级双拥模范城“七连冠”，积极构建军人荣誉体系，倾心解决军人“三后”问题，全面建立“区、街道、社区”三级贯通的退役军人服务保障体系。审计、监察、民族宗教、消防、双拥、妇女儿童、残疾人、精神文明和民主法治建设等事业发展水平全面提升，社会和谐稳定，百姓安居乐业，军政军民团结。</w:t>
      </w:r>
    </w:p>
    <w:p w14:paraId="684A23A0">
      <w:pPr>
        <w:widowControl w:val="0"/>
        <w:spacing w:line="560" w:lineRule="exact"/>
        <w:ind w:firstLine="640" w:firstLineChars="200"/>
        <w:jc w:val="both"/>
        <w:rPr>
          <w:rFonts w:ascii="Times New Roman" w:hAnsi="Times New Roman" w:eastAsia="方正仿宋简体" w:cs="仿宋"/>
          <w:color w:val="000000" w:themeColor="text1"/>
          <w:kern w:val="2"/>
          <w:sz w:val="32"/>
          <w:szCs w:val="32"/>
          <w14:textFill>
            <w14:solidFill>
              <w14:schemeClr w14:val="tx1"/>
            </w14:solidFill>
          </w14:textFill>
        </w:rPr>
        <w:sectPr>
          <w:footerReference r:id="rId4" w:type="default"/>
          <w:footerReference r:id="rId5" w:type="even"/>
          <w:footnotePr>
            <w:numFmt w:val="decimalEnclosedCircleChinese"/>
          </w:footnotePr>
          <w:pgSz w:w="11900" w:h="16840"/>
          <w:pgMar w:top="1928" w:right="1474" w:bottom="1701" w:left="1588" w:header="851" w:footer="992" w:gutter="0"/>
          <w:cols w:space="425" w:num="1"/>
          <w:docGrid w:type="lines" w:linePitch="423" w:charSpace="0"/>
        </w:sectPr>
      </w:pPr>
    </w:p>
    <w:p w14:paraId="295C9D3E">
      <w:pPr>
        <w:widowControl w:val="0"/>
        <w:spacing w:line="580" w:lineRule="exact"/>
        <w:jc w:val="center"/>
        <w:rPr>
          <w:rFonts w:ascii="Times New Roman" w:hAnsi="Times New Roman" w:eastAsia="仿宋" w:cs="仿宋"/>
          <w:b/>
          <w:color w:val="000000" w:themeColor="text1"/>
          <w:kern w:val="2"/>
          <w:sz w:val="28"/>
          <w:szCs w:val="32"/>
          <w14:textFill>
            <w14:solidFill>
              <w14:schemeClr w14:val="tx1"/>
            </w14:solidFill>
          </w14:textFill>
        </w:rPr>
      </w:pPr>
      <w:r>
        <w:rPr>
          <w:rFonts w:hint="eastAsia" w:ascii="Times New Roman" w:hAnsi="Times New Roman" w:eastAsia="仿宋" w:cs="仿宋"/>
          <w:b/>
          <w:color w:val="000000" w:themeColor="text1"/>
          <w:kern w:val="2"/>
          <w:sz w:val="28"/>
          <w:szCs w:val="32"/>
          <w14:textFill>
            <w14:solidFill>
              <w14:schemeClr w14:val="tx1"/>
            </w14:solidFill>
          </w14:textFill>
        </w:rPr>
        <w:t>专栏</w:t>
      </w:r>
      <w:r>
        <w:rPr>
          <w:rFonts w:ascii="Times New Roman" w:hAnsi="Times New Roman" w:eastAsia="仿宋" w:cs="仿宋"/>
          <w:b/>
          <w:color w:val="000000" w:themeColor="text1"/>
          <w:kern w:val="2"/>
          <w:sz w:val="28"/>
          <w:szCs w:val="32"/>
          <w14:textFill>
            <w14:solidFill>
              <w14:schemeClr w14:val="tx1"/>
            </w14:solidFill>
          </w14:textFill>
        </w:rPr>
        <w:t>1“</w:t>
      </w:r>
      <w:r>
        <w:rPr>
          <w:rFonts w:hint="eastAsia" w:ascii="Times New Roman" w:hAnsi="Times New Roman" w:eastAsia="仿宋" w:cs="仿宋"/>
          <w:b/>
          <w:color w:val="000000" w:themeColor="text1"/>
          <w:kern w:val="2"/>
          <w:sz w:val="28"/>
          <w:szCs w:val="32"/>
          <w14:textFill>
            <w14:solidFill>
              <w14:schemeClr w14:val="tx1"/>
            </w14:solidFill>
          </w14:textFill>
        </w:rPr>
        <w:t>十三五</w:t>
      </w:r>
      <w:r>
        <w:rPr>
          <w:rFonts w:ascii="Times New Roman" w:hAnsi="Times New Roman" w:eastAsia="仿宋" w:cs="仿宋"/>
          <w:b/>
          <w:color w:val="000000" w:themeColor="text1"/>
          <w:kern w:val="2"/>
          <w:sz w:val="28"/>
          <w:szCs w:val="32"/>
          <w14:textFill>
            <w14:solidFill>
              <w14:schemeClr w14:val="tx1"/>
            </w14:solidFill>
          </w14:textFill>
        </w:rPr>
        <w:t>”</w:t>
      </w:r>
      <w:r>
        <w:rPr>
          <w:rFonts w:hint="eastAsia" w:ascii="Times New Roman" w:hAnsi="Times New Roman" w:eastAsia="仿宋" w:cs="仿宋"/>
          <w:b/>
          <w:color w:val="000000" w:themeColor="text1"/>
          <w:kern w:val="2"/>
          <w:sz w:val="28"/>
          <w:szCs w:val="32"/>
          <w14:textFill>
            <w14:solidFill>
              <w14:schemeClr w14:val="tx1"/>
            </w14:solidFill>
          </w14:textFill>
        </w:rPr>
        <w:t>规划纲要指标完成情况</w:t>
      </w:r>
    </w:p>
    <w:tbl>
      <w:tblPr>
        <w:tblStyle w:val="26"/>
        <w:tblW w:w="5615" w:type="pct"/>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8"/>
        <w:gridCol w:w="630"/>
        <w:gridCol w:w="3594"/>
        <w:gridCol w:w="1209"/>
        <w:gridCol w:w="1205"/>
        <w:gridCol w:w="1205"/>
        <w:gridCol w:w="1358"/>
      </w:tblGrid>
      <w:tr w14:paraId="4A51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380" w:type="pct"/>
            <w:vMerge w:val="restart"/>
            <w:shd w:val="clear" w:color="auto" w:fill="auto"/>
            <w:tcMar>
              <w:top w:w="15" w:type="dxa"/>
              <w:left w:w="15" w:type="dxa"/>
              <w:bottom w:w="0" w:type="dxa"/>
              <w:right w:w="15" w:type="dxa"/>
            </w:tcMar>
            <w:vAlign w:val="center"/>
          </w:tcPr>
          <w:p w14:paraId="31E5F898">
            <w:pPr>
              <w:widowControl w:val="0"/>
              <w:spacing w:line="360" w:lineRule="exact"/>
              <w:jc w:val="center"/>
              <w:rPr>
                <w:rFonts w:ascii="Times New Roman" w:hAnsi="Times New Roman" w:eastAsia="方正仿宋简体"/>
                <w:b/>
                <w:bCs/>
                <w:color w:val="000000" w:themeColor="text1"/>
                <w14:textFill>
                  <w14:solidFill>
                    <w14:schemeClr w14:val="tx1"/>
                  </w14:solidFill>
                </w14:textFill>
              </w:rPr>
            </w:pPr>
            <w:r>
              <w:rPr>
                <w:rFonts w:hint="eastAsia" w:ascii="Times New Roman" w:hAnsi="Times New Roman" w:eastAsia="方正仿宋简体"/>
                <w:b/>
                <w:bCs/>
                <w:color w:val="000000" w:themeColor="text1"/>
                <w14:textFill>
                  <w14:solidFill>
                    <w14:schemeClr w14:val="tx1"/>
                  </w14:solidFill>
                </w14:textFill>
              </w:rPr>
              <w:t>分类</w:t>
            </w:r>
          </w:p>
        </w:tc>
        <w:tc>
          <w:tcPr>
            <w:tcW w:w="316" w:type="pct"/>
            <w:vMerge w:val="restart"/>
            <w:shd w:val="clear" w:color="auto" w:fill="auto"/>
            <w:tcMar>
              <w:top w:w="15" w:type="dxa"/>
              <w:left w:w="15" w:type="dxa"/>
              <w:bottom w:w="0" w:type="dxa"/>
              <w:right w:w="15" w:type="dxa"/>
            </w:tcMar>
            <w:vAlign w:val="center"/>
          </w:tcPr>
          <w:p w14:paraId="4B19A711">
            <w:pPr>
              <w:widowControl w:val="0"/>
              <w:spacing w:line="360" w:lineRule="exact"/>
              <w:jc w:val="center"/>
              <w:rPr>
                <w:rFonts w:ascii="Times New Roman" w:hAnsi="Times New Roman" w:eastAsia="方正仿宋简体"/>
                <w:b/>
                <w:bCs/>
                <w:color w:val="000000" w:themeColor="text1"/>
                <w14:textFill>
                  <w14:solidFill>
                    <w14:schemeClr w14:val="tx1"/>
                  </w14:solidFill>
                </w14:textFill>
              </w:rPr>
            </w:pPr>
            <w:r>
              <w:rPr>
                <w:rFonts w:hint="eastAsia" w:ascii="Times New Roman" w:hAnsi="Times New Roman" w:eastAsia="方正仿宋简体"/>
                <w:b/>
                <w:bCs/>
                <w:color w:val="000000" w:themeColor="text1"/>
                <w14:textFill>
                  <w14:solidFill>
                    <w14:schemeClr w14:val="tx1"/>
                  </w14:solidFill>
                </w14:textFill>
              </w:rPr>
              <w:t>序号</w:t>
            </w:r>
          </w:p>
        </w:tc>
        <w:tc>
          <w:tcPr>
            <w:tcW w:w="1803" w:type="pct"/>
            <w:vMerge w:val="restart"/>
            <w:shd w:val="clear" w:color="auto" w:fill="auto"/>
            <w:tcMar>
              <w:top w:w="15" w:type="dxa"/>
              <w:left w:w="15" w:type="dxa"/>
              <w:bottom w:w="0" w:type="dxa"/>
              <w:right w:w="15" w:type="dxa"/>
            </w:tcMar>
            <w:vAlign w:val="center"/>
          </w:tcPr>
          <w:p w14:paraId="32FFEF7D">
            <w:pPr>
              <w:widowControl w:val="0"/>
              <w:spacing w:line="360" w:lineRule="exact"/>
              <w:jc w:val="center"/>
              <w:rPr>
                <w:rFonts w:ascii="Times New Roman" w:hAnsi="Times New Roman" w:eastAsia="方正仿宋简体"/>
                <w:b/>
                <w:bCs/>
                <w:color w:val="000000" w:themeColor="text1"/>
                <w14:textFill>
                  <w14:solidFill>
                    <w14:schemeClr w14:val="tx1"/>
                  </w14:solidFill>
                </w14:textFill>
              </w:rPr>
            </w:pPr>
            <w:r>
              <w:rPr>
                <w:rFonts w:hint="eastAsia" w:ascii="Times New Roman" w:hAnsi="Times New Roman" w:eastAsia="方正仿宋简体"/>
                <w:b/>
                <w:bCs/>
                <w:color w:val="000000" w:themeColor="text1"/>
                <w14:textFill>
                  <w14:solidFill>
                    <w14:schemeClr w14:val="tx1"/>
                  </w14:solidFill>
                </w14:textFill>
              </w:rPr>
              <w:t>指标</w:t>
            </w:r>
          </w:p>
        </w:tc>
        <w:tc>
          <w:tcPr>
            <w:tcW w:w="607" w:type="pct"/>
            <w:vMerge w:val="restart"/>
            <w:shd w:val="clear" w:color="auto" w:fill="auto"/>
            <w:tcMar>
              <w:top w:w="15" w:type="dxa"/>
              <w:left w:w="15" w:type="dxa"/>
              <w:bottom w:w="0" w:type="dxa"/>
              <w:right w:w="15" w:type="dxa"/>
            </w:tcMar>
            <w:vAlign w:val="center"/>
          </w:tcPr>
          <w:p w14:paraId="1E78D1A6">
            <w:pPr>
              <w:widowControl w:val="0"/>
              <w:spacing w:line="360" w:lineRule="exact"/>
              <w:jc w:val="center"/>
              <w:rPr>
                <w:rFonts w:ascii="Times New Roman" w:hAnsi="Times New Roman" w:eastAsia="方正仿宋简体"/>
                <w:b/>
                <w:bCs/>
                <w:color w:val="000000" w:themeColor="text1"/>
                <w14:textFill>
                  <w14:solidFill>
                    <w14:schemeClr w14:val="tx1"/>
                  </w14:solidFill>
                </w14:textFill>
              </w:rPr>
            </w:pPr>
            <w:r>
              <w:rPr>
                <w:rFonts w:hint="eastAsia" w:ascii="Times New Roman" w:hAnsi="Times New Roman" w:eastAsia="方正仿宋简体"/>
                <w:b/>
                <w:bCs/>
                <w:color w:val="000000" w:themeColor="text1"/>
                <w14:textFill>
                  <w14:solidFill>
                    <w14:schemeClr w14:val="tx1"/>
                  </w14:solidFill>
                </w14:textFill>
              </w:rPr>
              <w:t>“十三五”目标</w:t>
            </w:r>
          </w:p>
        </w:tc>
        <w:tc>
          <w:tcPr>
            <w:tcW w:w="605" w:type="pct"/>
            <w:vMerge w:val="restart"/>
            <w:shd w:val="clear" w:color="auto" w:fill="auto"/>
            <w:tcMar>
              <w:top w:w="15" w:type="dxa"/>
              <w:left w:w="15" w:type="dxa"/>
              <w:bottom w:w="0" w:type="dxa"/>
              <w:right w:w="15" w:type="dxa"/>
            </w:tcMar>
            <w:vAlign w:val="center"/>
          </w:tcPr>
          <w:p w14:paraId="63D30627">
            <w:pPr>
              <w:widowControl w:val="0"/>
              <w:spacing w:line="360" w:lineRule="exact"/>
              <w:jc w:val="center"/>
              <w:rPr>
                <w:rFonts w:ascii="Times New Roman" w:hAnsi="Times New Roman" w:eastAsia="方正仿宋简体"/>
                <w:b/>
                <w:bCs/>
                <w:color w:val="000000" w:themeColor="text1"/>
                <w14:textFill>
                  <w14:solidFill>
                    <w14:schemeClr w14:val="tx1"/>
                  </w14:solidFill>
                </w14:textFill>
              </w:rPr>
            </w:pPr>
            <w:r>
              <w:rPr>
                <w:rFonts w:hint="eastAsia" w:ascii="Times New Roman" w:hAnsi="Times New Roman" w:eastAsia="方正仿宋简体"/>
                <w:b/>
                <w:bCs/>
                <w:color w:val="000000" w:themeColor="text1"/>
                <w14:textFill>
                  <w14:solidFill>
                    <w14:schemeClr w14:val="tx1"/>
                  </w14:solidFill>
                </w14:textFill>
              </w:rPr>
              <w:t>2015年</w:t>
            </w:r>
          </w:p>
          <w:p w14:paraId="4E28E834">
            <w:pPr>
              <w:widowControl w:val="0"/>
              <w:spacing w:line="360" w:lineRule="exact"/>
              <w:jc w:val="center"/>
              <w:rPr>
                <w:rFonts w:ascii="Times New Roman" w:hAnsi="Times New Roman" w:eastAsia="方正仿宋简体"/>
                <w:b/>
                <w:bCs/>
                <w:color w:val="000000" w:themeColor="text1"/>
                <w14:textFill>
                  <w14:solidFill>
                    <w14:schemeClr w14:val="tx1"/>
                  </w14:solidFill>
                </w14:textFill>
              </w:rPr>
            </w:pPr>
            <w:r>
              <w:rPr>
                <w:rFonts w:hint="eastAsia" w:ascii="Times New Roman" w:hAnsi="Times New Roman" w:eastAsia="方正仿宋简体"/>
                <w:b/>
                <w:bCs/>
                <w:color w:val="000000" w:themeColor="text1"/>
                <w14:textFill>
                  <w14:solidFill>
                    <w14:schemeClr w14:val="tx1"/>
                  </w14:solidFill>
                </w14:textFill>
              </w:rPr>
              <w:t>实际</w:t>
            </w:r>
          </w:p>
        </w:tc>
        <w:tc>
          <w:tcPr>
            <w:tcW w:w="605" w:type="pct"/>
            <w:vMerge w:val="restart"/>
            <w:shd w:val="clear" w:color="auto" w:fill="auto"/>
            <w:tcMar>
              <w:top w:w="15" w:type="dxa"/>
              <w:left w:w="15" w:type="dxa"/>
              <w:bottom w:w="0" w:type="dxa"/>
              <w:right w:w="15" w:type="dxa"/>
            </w:tcMar>
            <w:vAlign w:val="center"/>
          </w:tcPr>
          <w:p w14:paraId="045DABA2">
            <w:pPr>
              <w:widowControl w:val="0"/>
              <w:spacing w:line="360" w:lineRule="exact"/>
              <w:jc w:val="center"/>
              <w:rPr>
                <w:rFonts w:ascii="Times New Roman" w:hAnsi="Times New Roman" w:eastAsia="方正仿宋简体"/>
                <w:b/>
                <w:bCs/>
                <w:color w:val="000000" w:themeColor="text1"/>
                <w:sz w:val="32"/>
                <w:szCs w:val="32"/>
                <w14:textFill>
                  <w14:solidFill>
                    <w14:schemeClr w14:val="tx1"/>
                  </w14:solidFill>
                </w14:textFill>
              </w:rPr>
            </w:pPr>
            <w:r>
              <w:rPr>
                <w:rFonts w:hint="eastAsia" w:ascii="Times New Roman" w:hAnsi="Times New Roman" w:eastAsia="方正仿宋简体"/>
                <w:b/>
                <w:bCs/>
                <w:color w:val="000000" w:themeColor="text1"/>
                <w14:textFill>
                  <w14:solidFill>
                    <w14:schemeClr w14:val="tx1"/>
                  </w14:solidFill>
                </w14:textFill>
              </w:rPr>
              <w:t>2020年</w:t>
            </w:r>
          </w:p>
          <w:p w14:paraId="6332E237">
            <w:pPr>
              <w:widowControl w:val="0"/>
              <w:spacing w:line="360" w:lineRule="exact"/>
              <w:jc w:val="center"/>
              <w:rPr>
                <w:rFonts w:ascii="Times New Roman" w:hAnsi="Times New Roman" w:eastAsia="方正仿宋简体"/>
                <w:b/>
                <w:bCs/>
                <w:color w:val="000000" w:themeColor="text1"/>
                <w14:textFill>
                  <w14:solidFill>
                    <w14:schemeClr w14:val="tx1"/>
                  </w14:solidFill>
                </w14:textFill>
              </w:rPr>
            </w:pPr>
            <w:r>
              <w:rPr>
                <w:rFonts w:hint="eastAsia" w:ascii="Times New Roman" w:hAnsi="Times New Roman" w:eastAsia="方正仿宋简体"/>
                <w:b/>
                <w:bCs/>
                <w:color w:val="000000" w:themeColor="text1"/>
                <w14:textFill>
                  <w14:solidFill>
                    <w14:schemeClr w14:val="tx1"/>
                  </w14:solidFill>
                </w14:textFill>
              </w:rPr>
              <w:t>实际</w:t>
            </w:r>
          </w:p>
        </w:tc>
        <w:tc>
          <w:tcPr>
            <w:tcW w:w="682" w:type="pct"/>
            <w:vMerge w:val="restart"/>
            <w:shd w:val="clear" w:color="auto" w:fill="auto"/>
            <w:tcMar>
              <w:top w:w="15" w:type="dxa"/>
              <w:left w:w="15" w:type="dxa"/>
              <w:bottom w:w="0" w:type="dxa"/>
              <w:right w:w="15" w:type="dxa"/>
            </w:tcMar>
            <w:vAlign w:val="center"/>
          </w:tcPr>
          <w:p w14:paraId="6DAE1076">
            <w:pPr>
              <w:widowControl w:val="0"/>
              <w:spacing w:line="360" w:lineRule="exact"/>
              <w:jc w:val="center"/>
              <w:rPr>
                <w:rFonts w:ascii="Times New Roman" w:hAnsi="Times New Roman" w:eastAsia="方正仿宋简体"/>
                <w:b/>
                <w:bCs/>
                <w:color w:val="000000" w:themeColor="text1"/>
                <w14:textFill>
                  <w14:solidFill>
                    <w14:schemeClr w14:val="tx1"/>
                  </w14:solidFill>
                </w14:textFill>
              </w:rPr>
            </w:pPr>
            <w:r>
              <w:rPr>
                <w:rFonts w:hint="eastAsia" w:ascii="Times New Roman" w:hAnsi="Times New Roman" w:eastAsia="方正仿宋简体"/>
                <w:b/>
                <w:bCs/>
                <w:color w:val="000000" w:themeColor="text1"/>
                <w14:textFill>
                  <w14:solidFill>
                    <w14:schemeClr w14:val="tx1"/>
                  </w14:solidFill>
                </w14:textFill>
              </w:rPr>
              <w:t>完成情况</w:t>
            </w:r>
          </w:p>
        </w:tc>
      </w:tr>
      <w:tr w14:paraId="3AB1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blHeader/>
        </w:trPr>
        <w:tc>
          <w:tcPr>
            <w:tcW w:w="380" w:type="pct"/>
            <w:vMerge w:val="continue"/>
            <w:vAlign w:val="center"/>
          </w:tcPr>
          <w:p w14:paraId="15561FD0">
            <w:pPr>
              <w:widowControl w:val="0"/>
              <w:spacing w:line="360" w:lineRule="exact"/>
              <w:rPr>
                <w:rFonts w:ascii="Times New Roman" w:hAnsi="Times New Roman" w:eastAsia="方正仿宋简体"/>
                <w:b/>
                <w:bCs/>
                <w:color w:val="000000" w:themeColor="text1"/>
                <w14:textFill>
                  <w14:solidFill>
                    <w14:schemeClr w14:val="tx1"/>
                  </w14:solidFill>
                </w14:textFill>
              </w:rPr>
            </w:pPr>
          </w:p>
        </w:tc>
        <w:tc>
          <w:tcPr>
            <w:tcW w:w="316" w:type="pct"/>
            <w:vMerge w:val="continue"/>
            <w:vAlign w:val="center"/>
          </w:tcPr>
          <w:p w14:paraId="5736843C">
            <w:pPr>
              <w:widowControl w:val="0"/>
              <w:spacing w:line="360" w:lineRule="exact"/>
              <w:rPr>
                <w:rFonts w:ascii="Times New Roman" w:hAnsi="Times New Roman" w:eastAsia="方正仿宋简体"/>
                <w:b/>
                <w:bCs/>
                <w:color w:val="000000" w:themeColor="text1"/>
                <w14:textFill>
                  <w14:solidFill>
                    <w14:schemeClr w14:val="tx1"/>
                  </w14:solidFill>
                </w14:textFill>
              </w:rPr>
            </w:pPr>
          </w:p>
        </w:tc>
        <w:tc>
          <w:tcPr>
            <w:tcW w:w="1803" w:type="pct"/>
            <w:vMerge w:val="continue"/>
            <w:vAlign w:val="center"/>
          </w:tcPr>
          <w:p w14:paraId="78B37465">
            <w:pPr>
              <w:widowControl w:val="0"/>
              <w:spacing w:line="360" w:lineRule="exact"/>
              <w:rPr>
                <w:rFonts w:ascii="Times New Roman" w:hAnsi="Times New Roman" w:eastAsia="方正仿宋简体"/>
                <w:b/>
                <w:bCs/>
                <w:color w:val="000000" w:themeColor="text1"/>
                <w14:textFill>
                  <w14:solidFill>
                    <w14:schemeClr w14:val="tx1"/>
                  </w14:solidFill>
                </w14:textFill>
              </w:rPr>
            </w:pPr>
          </w:p>
        </w:tc>
        <w:tc>
          <w:tcPr>
            <w:tcW w:w="607" w:type="pct"/>
            <w:vMerge w:val="continue"/>
            <w:vAlign w:val="center"/>
          </w:tcPr>
          <w:p w14:paraId="2157FBF5">
            <w:pPr>
              <w:widowControl w:val="0"/>
              <w:spacing w:line="360" w:lineRule="exact"/>
              <w:rPr>
                <w:rFonts w:ascii="Times New Roman" w:hAnsi="Times New Roman" w:eastAsia="方正仿宋简体"/>
                <w:b/>
                <w:bCs/>
                <w:color w:val="000000" w:themeColor="text1"/>
                <w14:textFill>
                  <w14:solidFill>
                    <w14:schemeClr w14:val="tx1"/>
                  </w14:solidFill>
                </w14:textFill>
              </w:rPr>
            </w:pPr>
          </w:p>
        </w:tc>
        <w:tc>
          <w:tcPr>
            <w:tcW w:w="605" w:type="pct"/>
            <w:vMerge w:val="continue"/>
            <w:vAlign w:val="center"/>
          </w:tcPr>
          <w:p w14:paraId="07A77592">
            <w:pPr>
              <w:widowControl w:val="0"/>
              <w:spacing w:line="360" w:lineRule="exact"/>
              <w:rPr>
                <w:rFonts w:ascii="Times New Roman" w:hAnsi="Times New Roman" w:eastAsia="方正仿宋简体"/>
                <w:b/>
                <w:bCs/>
                <w:color w:val="000000" w:themeColor="text1"/>
                <w14:textFill>
                  <w14:solidFill>
                    <w14:schemeClr w14:val="tx1"/>
                  </w14:solidFill>
                </w14:textFill>
              </w:rPr>
            </w:pPr>
          </w:p>
        </w:tc>
        <w:tc>
          <w:tcPr>
            <w:tcW w:w="605" w:type="pct"/>
            <w:vMerge w:val="continue"/>
            <w:vAlign w:val="center"/>
          </w:tcPr>
          <w:p w14:paraId="69FCB100">
            <w:pPr>
              <w:widowControl w:val="0"/>
              <w:spacing w:line="360" w:lineRule="exact"/>
              <w:rPr>
                <w:rFonts w:ascii="Times New Roman" w:hAnsi="Times New Roman" w:eastAsia="方正仿宋简体"/>
                <w:b/>
                <w:bCs/>
                <w:color w:val="000000" w:themeColor="text1"/>
                <w14:textFill>
                  <w14:solidFill>
                    <w14:schemeClr w14:val="tx1"/>
                  </w14:solidFill>
                </w14:textFill>
              </w:rPr>
            </w:pPr>
          </w:p>
        </w:tc>
        <w:tc>
          <w:tcPr>
            <w:tcW w:w="682" w:type="pct"/>
            <w:vMerge w:val="continue"/>
            <w:vAlign w:val="center"/>
          </w:tcPr>
          <w:p w14:paraId="307F9AC1">
            <w:pPr>
              <w:widowControl w:val="0"/>
              <w:spacing w:line="360" w:lineRule="exact"/>
              <w:rPr>
                <w:rFonts w:ascii="Times New Roman" w:hAnsi="Times New Roman" w:eastAsia="方正仿宋简体"/>
                <w:b/>
                <w:bCs/>
                <w:color w:val="000000" w:themeColor="text1"/>
                <w14:textFill>
                  <w14:solidFill>
                    <w14:schemeClr w14:val="tx1"/>
                  </w14:solidFill>
                </w14:textFill>
              </w:rPr>
            </w:pPr>
          </w:p>
        </w:tc>
      </w:tr>
      <w:tr w14:paraId="6312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380" w:type="pct"/>
            <w:vMerge w:val="restart"/>
            <w:shd w:val="clear" w:color="auto" w:fill="auto"/>
            <w:tcMar>
              <w:top w:w="15" w:type="dxa"/>
              <w:left w:w="15" w:type="dxa"/>
              <w:bottom w:w="0" w:type="dxa"/>
              <w:right w:w="15" w:type="dxa"/>
            </w:tcMar>
            <w:vAlign w:val="center"/>
          </w:tcPr>
          <w:p w14:paraId="302B59BD">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经济</w:t>
            </w:r>
          </w:p>
          <w:p w14:paraId="5790556C">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发展</w:t>
            </w:r>
          </w:p>
        </w:tc>
        <w:tc>
          <w:tcPr>
            <w:tcW w:w="316" w:type="pct"/>
            <w:shd w:val="clear" w:color="auto" w:fill="auto"/>
            <w:tcMar>
              <w:top w:w="15" w:type="dxa"/>
              <w:left w:w="15" w:type="dxa"/>
              <w:bottom w:w="0" w:type="dxa"/>
              <w:right w:w="15" w:type="dxa"/>
            </w:tcMar>
            <w:vAlign w:val="center"/>
          </w:tcPr>
          <w:p w14:paraId="5376CB93">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w:t>
            </w:r>
          </w:p>
        </w:tc>
        <w:tc>
          <w:tcPr>
            <w:tcW w:w="1803" w:type="pct"/>
            <w:shd w:val="clear" w:color="auto" w:fill="auto"/>
            <w:tcMar>
              <w:top w:w="15" w:type="dxa"/>
              <w:left w:w="15" w:type="dxa"/>
              <w:bottom w:w="0" w:type="dxa"/>
              <w:right w:w="15" w:type="dxa"/>
            </w:tcMar>
            <w:vAlign w:val="center"/>
          </w:tcPr>
          <w:p w14:paraId="3A7C3474">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地区生产总值（亿元）</w:t>
            </w:r>
          </w:p>
        </w:tc>
        <w:tc>
          <w:tcPr>
            <w:tcW w:w="607" w:type="pct"/>
            <w:shd w:val="clear" w:color="auto" w:fill="auto"/>
            <w:tcMar>
              <w:top w:w="15" w:type="dxa"/>
              <w:left w:w="15" w:type="dxa"/>
              <w:bottom w:w="0" w:type="dxa"/>
              <w:right w:w="15" w:type="dxa"/>
            </w:tcMar>
            <w:vAlign w:val="center"/>
          </w:tcPr>
          <w:p w14:paraId="33E41C25">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380</w:t>
            </w:r>
          </w:p>
        </w:tc>
        <w:tc>
          <w:tcPr>
            <w:tcW w:w="605" w:type="pct"/>
            <w:shd w:val="clear" w:color="auto" w:fill="auto"/>
            <w:tcMar>
              <w:top w:w="15" w:type="dxa"/>
              <w:left w:w="15" w:type="dxa"/>
              <w:bottom w:w="0" w:type="dxa"/>
              <w:right w:w="15" w:type="dxa"/>
            </w:tcMar>
            <w:vAlign w:val="center"/>
          </w:tcPr>
          <w:p w14:paraId="5F400E3B">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265.99</w:t>
            </w:r>
          </w:p>
        </w:tc>
        <w:tc>
          <w:tcPr>
            <w:tcW w:w="605" w:type="pct"/>
            <w:shd w:val="clear" w:color="auto" w:fill="auto"/>
            <w:tcMar>
              <w:top w:w="15" w:type="dxa"/>
              <w:left w:w="15" w:type="dxa"/>
              <w:bottom w:w="0" w:type="dxa"/>
              <w:right w:w="15" w:type="dxa"/>
            </w:tcMar>
            <w:vAlign w:val="center"/>
          </w:tcPr>
          <w:p w14:paraId="78B67A2A">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438.08</w:t>
            </w:r>
          </w:p>
        </w:tc>
        <w:tc>
          <w:tcPr>
            <w:tcW w:w="682" w:type="pct"/>
            <w:shd w:val="clear" w:color="auto" w:fill="auto"/>
            <w:tcMar>
              <w:top w:w="15" w:type="dxa"/>
              <w:left w:w="15" w:type="dxa"/>
              <w:bottom w:w="0" w:type="dxa"/>
              <w:right w:w="15" w:type="dxa"/>
            </w:tcMar>
          </w:tcPr>
          <w:p w14:paraId="5991C709">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四经普调整数，已完成</w:t>
            </w:r>
          </w:p>
        </w:tc>
      </w:tr>
      <w:tr w14:paraId="1481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trPr>
        <w:tc>
          <w:tcPr>
            <w:tcW w:w="380" w:type="pct"/>
            <w:vMerge w:val="continue"/>
            <w:vAlign w:val="center"/>
          </w:tcPr>
          <w:p w14:paraId="6883BCE4">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265620CB">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w:t>
            </w:r>
          </w:p>
        </w:tc>
        <w:tc>
          <w:tcPr>
            <w:tcW w:w="1803" w:type="pct"/>
            <w:shd w:val="clear" w:color="auto" w:fill="auto"/>
            <w:tcMar>
              <w:top w:w="15" w:type="dxa"/>
              <w:left w:w="15" w:type="dxa"/>
              <w:bottom w:w="0" w:type="dxa"/>
              <w:right w:w="15" w:type="dxa"/>
            </w:tcMar>
            <w:vAlign w:val="center"/>
          </w:tcPr>
          <w:p w14:paraId="59FCA145">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人均</w:t>
            </w:r>
            <w:r>
              <w:rPr>
                <w:rFonts w:ascii="Times New Roman" w:hAnsi="Times New Roman" w:eastAsia="方正仿宋简体"/>
                <w:color w:val="000000" w:themeColor="text1"/>
                <w14:textFill>
                  <w14:solidFill>
                    <w14:schemeClr w14:val="tx1"/>
                  </w14:solidFill>
                </w14:textFill>
              </w:rPr>
              <w:t>GDP</w:t>
            </w:r>
            <w:r>
              <w:rPr>
                <w:rFonts w:hint="eastAsia" w:ascii="Times New Roman" w:hAnsi="Times New Roman" w:eastAsia="方正仿宋简体"/>
                <w:color w:val="000000" w:themeColor="text1"/>
                <w14:textFill>
                  <w14:solidFill>
                    <w14:schemeClr w14:val="tx1"/>
                  </w14:solidFill>
                </w14:textFill>
              </w:rPr>
              <w:t>（万元）</w:t>
            </w:r>
          </w:p>
        </w:tc>
        <w:tc>
          <w:tcPr>
            <w:tcW w:w="607" w:type="pct"/>
            <w:shd w:val="clear" w:color="auto" w:fill="auto"/>
            <w:tcMar>
              <w:top w:w="15" w:type="dxa"/>
              <w:left w:w="15" w:type="dxa"/>
              <w:bottom w:w="0" w:type="dxa"/>
              <w:right w:w="15" w:type="dxa"/>
            </w:tcMar>
            <w:vAlign w:val="center"/>
          </w:tcPr>
          <w:p w14:paraId="61E83FE0">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9.5</w:t>
            </w:r>
          </w:p>
        </w:tc>
        <w:tc>
          <w:tcPr>
            <w:tcW w:w="605" w:type="pct"/>
            <w:shd w:val="clear" w:color="auto" w:fill="auto"/>
            <w:tcMar>
              <w:top w:w="15" w:type="dxa"/>
              <w:left w:w="15" w:type="dxa"/>
              <w:bottom w:w="0" w:type="dxa"/>
              <w:right w:w="15" w:type="dxa"/>
            </w:tcMar>
            <w:vAlign w:val="center"/>
          </w:tcPr>
          <w:p w14:paraId="124067A8">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6.87</w:t>
            </w:r>
          </w:p>
        </w:tc>
        <w:tc>
          <w:tcPr>
            <w:tcW w:w="605" w:type="pct"/>
            <w:shd w:val="clear" w:color="auto" w:fill="auto"/>
            <w:tcMar>
              <w:top w:w="15" w:type="dxa"/>
              <w:left w:w="15" w:type="dxa"/>
              <w:bottom w:w="0" w:type="dxa"/>
              <w:right w:w="15" w:type="dxa"/>
            </w:tcMar>
            <w:vAlign w:val="center"/>
          </w:tcPr>
          <w:p w14:paraId="5A190A8B">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11.06</w:t>
            </w:r>
          </w:p>
        </w:tc>
        <w:tc>
          <w:tcPr>
            <w:tcW w:w="682" w:type="pct"/>
            <w:shd w:val="clear" w:color="auto" w:fill="auto"/>
            <w:tcMar>
              <w:top w:w="15" w:type="dxa"/>
              <w:left w:w="15" w:type="dxa"/>
              <w:bottom w:w="0" w:type="dxa"/>
              <w:right w:w="15" w:type="dxa"/>
            </w:tcMar>
          </w:tcPr>
          <w:p w14:paraId="78F893C5">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w:t>
            </w:r>
          </w:p>
        </w:tc>
      </w:tr>
      <w:tr w14:paraId="6888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380" w:type="pct"/>
            <w:vMerge w:val="continue"/>
            <w:vAlign w:val="center"/>
          </w:tcPr>
          <w:p w14:paraId="057FCC36">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78151A1B">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3</w:t>
            </w:r>
          </w:p>
        </w:tc>
        <w:tc>
          <w:tcPr>
            <w:tcW w:w="1803" w:type="pct"/>
            <w:shd w:val="clear" w:color="auto" w:fill="auto"/>
            <w:tcMar>
              <w:top w:w="15" w:type="dxa"/>
              <w:left w:w="15" w:type="dxa"/>
              <w:bottom w:w="0" w:type="dxa"/>
              <w:right w:w="15" w:type="dxa"/>
            </w:tcMar>
            <w:vAlign w:val="center"/>
          </w:tcPr>
          <w:p w14:paraId="049AB246">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一般公共预算总收入（亿元）</w:t>
            </w:r>
          </w:p>
        </w:tc>
        <w:tc>
          <w:tcPr>
            <w:tcW w:w="607" w:type="pct"/>
            <w:shd w:val="clear" w:color="auto" w:fill="auto"/>
            <w:tcMar>
              <w:top w:w="15" w:type="dxa"/>
              <w:left w:w="15" w:type="dxa"/>
              <w:bottom w:w="0" w:type="dxa"/>
              <w:right w:w="15" w:type="dxa"/>
            </w:tcMar>
            <w:vAlign w:val="center"/>
          </w:tcPr>
          <w:p w14:paraId="16D44430">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24.6</w:t>
            </w:r>
          </w:p>
        </w:tc>
        <w:tc>
          <w:tcPr>
            <w:tcW w:w="605" w:type="pct"/>
            <w:shd w:val="clear" w:color="auto" w:fill="auto"/>
            <w:tcMar>
              <w:top w:w="15" w:type="dxa"/>
              <w:left w:w="15" w:type="dxa"/>
              <w:bottom w:w="0" w:type="dxa"/>
              <w:right w:w="15" w:type="dxa"/>
            </w:tcMar>
            <w:vAlign w:val="center"/>
          </w:tcPr>
          <w:p w14:paraId="1C4ED6C9">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19.01</w:t>
            </w:r>
          </w:p>
        </w:tc>
        <w:tc>
          <w:tcPr>
            <w:tcW w:w="605" w:type="pct"/>
            <w:shd w:val="clear" w:color="auto" w:fill="auto"/>
            <w:tcMar>
              <w:top w:w="15" w:type="dxa"/>
              <w:left w:w="15" w:type="dxa"/>
              <w:bottom w:w="0" w:type="dxa"/>
              <w:right w:w="15" w:type="dxa"/>
            </w:tcMar>
            <w:vAlign w:val="center"/>
          </w:tcPr>
          <w:p w14:paraId="684DF200">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20.24</w:t>
            </w:r>
          </w:p>
        </w:tc>
        <w:tc>
          <w:tcPr>
            <w:tcW w:w="682" w:type="pct"/>
            <w:shd w:val="clear" w:color="auto" w:fill="auto"/>
            <w:tcMar>
              <w:top w:w="15" w:type="dxa"/>
              <w:left w:w="15" w:type="dxa"/>
              <w:bottom w:w="0" w:type="dxa"/>
              <w:right w:w="15" w:type="dxa"/>
            </w:tcMar>
            <w:vAlign w:val="center"/>
          </w:tcPr>
          <w:p w14:paraId="6B3F100D">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未完成</w:t>
            </w:r>
          </w:p>
        </w:tc>
      </w:tr>
      <w:tr w14:paraId="74D7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380" w:type="pct"/>
            <w:vMerge w:val="continue"/>
            <w:vAlign w:val="center"/>
          </w:tcPr>
          <w:p w14:paraId="0FC13152">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160BDD42">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w:t>
            </w:r>
          </w:p>
        </w:tc>
        <w:tc>
          <w:tcPr>
            <w:tcW w:w="1803" w:type="pct"/>
            <w:shd w:val="clear" w:color="auto" w:fill="auto"/>
            <w:tcMar>
              <w:top w:w="15" w:type="dxa"/>
              <w:left w:w="15" w:type="dxa"/>
              <w:bottom w:w="0" w:type="dxa"/>
              <w:right w:w="15" w:type="dxa"/>
            </w:tcMar>
            <w:vAlign w:val="center"/>
          </w:tcPr>
          <w:p w14:paraId="32CEF5CA">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一般公共预算收入（亿元）</w:t>
            </w:r>
          </w:p>
        </w:tc>
        <w:tc>
          <w:tcPr>
            <w:tcW w:w="607" w:type="pct"/>
            <w:shd w:val="clear" w:color="auto" w:fill="auto"/>
            <w:tcMar>
              <w:top w:w="15" w:type="dxa"/>
              <w:left w:w="15" w:type="dxa"/>
              <w:bottom w:w="0" w:type="dxa"/>
              <w:right w:w="15" w:type="dxa"/>
            </w:tcMar>
            <w:vAlign w:val="center"/>
          </w:tcPr>
          <w:p w14:paraId="3EF413B8">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14.6</w:t>
            </w:r>
          </w:p>
        </w:tc>
        <w:tc>
          <w:tcPr>
            <w:tcW w:w="605" w:type="pct"/>
            <w:shd w:val="clear" w:color="auto" w:fill="auto"/>
            <w:tcMar>
              <w:top w:w="15" w:type="dxa"/>
              <w:left w:w="15" w:type="dxa"/>
              <w:bottom w:w="0" w:type="dxa"/>
              <w:right w:w="15" w:type="dxa"/>
            </w:tcMar>
            <w:vAlign w:val="center"/>
          </w:tcPr>
          <w:p w14:paraId="5BABC016">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11.45</w:t>
            </w:r>
          </w:p>
        </w:tc>
        <w:tc>
          <w:tcPr>
            <w:tcW w:w="605" w:type="pct"/>
            <w:shd w:val="clear" w:color="auto" w:fill="auto"/>
            <w:tcMar>
              <w:top w:w="15" w:type="dxa"/>
              <w:left w:w="15" w:type="dxa"/>
              <w:bottom w:w="0" w:type="dxa"/>
              <w:right w:w="15" w:type="dxa"/>
            </w:tcMar>
            <w:vAlign w:val="center"/>
          </w:tcPr>
          <w:p w14:paraId="4158FE73">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12.28</w:t>
            </w:r>
          </w:p>
        </w:tc>
        <w:tc>
          <w:tcPr>
            <w:tcW w:w="682" w:type="pct"/>
            <w:shd w:val="clear" w:color="auto" w:fill="auto"/>
            <w:tcMar>
              <w:top w:w="15" w:type="dxa"/>
              <w:left w:w="15" w:type="dxa"/>
              <w:bottom w:w="0" w:type="dxa"/>
              <w:right w:w="15" w:type="dxa"/>
            </w:tcMar>
            <w:vAlign w:val="center"/>
          </w:tcPr>
          <w:p w14:paraId="1CECFFEF">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未完成</w:t>
            </w:r>
          </w:p>
        </w:tc>
      </w:tr>
      <w:tr w14:paraId="2689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7F32A333">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23C4C87E">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5</w:t>
            </w:r>
          </w:p>
        </w:tc>
        <w:tc>
          <w:tcPr>
            <w:tcW w:w="1803" w:type="pct"/>
            <w:shd w:val="clear" w:color="auto" w:fill="auto"/>
            <w:tcMar>
              <w:top w:w="15" w:type="dxa"/>
              <w:left w:w="15" w:type="dxa"/>
              <w:bottom w:w="0" w:type="dxa"/>
              <w:right w:w="15" w:type="dxa"/>
            </w:tcMar>
            <w:vAlign w:val="center"/>
          </w:tcPr>
          <w:p w14:paraId="3C0B5F26">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固定资产投资增长率（%）</w:t>
            </w:r>
          </w:p>
        </w:tc>
        <w:tc>
          <w:tcPr>
            <w:tcW w:w="607" w:type="pct"/>
            <w:shd w:val="clear" w:color="auto" w:fill="auto"/>
            <w:tcMar>
              <w:top w:w="15" w:type="dxa"/>
              <w:left w:w="15" w:type="dxa"/>
              <w:bottom w:w="0" w:type="dxa"/>
              <w:right w:w="15" w:type="dxa"/>
            </w:tcMar>
            <w:vAlign w:val="center"/>
          </w:tcPr>
          <w:p w14:paraId="33512469">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年均增长7%</w:t>
            </w:r>
          </w:p>
        </w:tc>
        <w:tc>
          <w:tcPr>
            <w:tcW w:w="605" w:type="pct"/>
            <w:shd w:val="clear" w:color="auto" w:fill="auto"/>
            <w:tcMar>
              <w:top w:w="15" w:type="dxa"/>
              <w:left w:w="15" w:type="dxa"/>
              <w:bottom w:w="0" w:type="dxa"/>
              <w:right w:w="15" w:type="dxa"/>
            </w:tcMar>
            <w:vAlign w:val="center"/>
          </w:tcPr>
          <w:p w14:paraId="21422AD0">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10.6</w:t>
            </w:r>
          </w:p>
        </w:tc>
        <w:tc>
          <w:tcPr>
            <w:tcW w:w="605" w:type="pct"/>
            <w:shd w:val="clear" w:color="auto" w:fill="auto"/>
            <w:tcMar>
              <w:top w:w="15" w:type="dxa"/>
              <w:left w:w="15" w:type="dxa"/>
              <w:bottom w:w="0" w:type="dxa"/>
              <w:right w:w="15" w:type="dxa"/>
            </w:tcMar>
            <w:vAlign w:val="center"/>
          </w:tcPr>
          <w:p w14:paraId="400C565D">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15.3</w:t>
            </w:r>
          </w:p>
        </w:tc>
        <w:tc>
          <w:tcPr>
            <w:tcW w:w="682" w:type="pct"/>
            <w:shd w:val="clear" w:color="auto" w:fill="auto"/>
            <w:tcMar>
              <w:top w:w="15" w:type="dxa"/>
              <w:left w:w="15" w:type="dxa"/>
              <w:bottom w:w="0" w:type="dxa"/>
              <w:right w:w="15" w:type="dxa"/>
            </w:tcMar>
            <w:vAlign w:val="center"/>
          </w:tcPr>
          <w:p w14:paraId="63049872">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统计口径改变，难以评估</w:t>
            </w:r>
          </w:p>
        </w:tc>
      </w:tr>
      <w:tr w14:paraId="43EF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3400FF30">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0186768D">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6</w:t>
            </w:r>
          </w:p>
        </w:tc>
        <w:tc>
          <w:tcPr>
            <w:tcW w:w="1803" w:type="pct"/>
            <w:shd w:val="clear" w:color="auto" w:fill="auto"/>
            <w:tcMar>
              <w:top w:w="15" w:type="dxa"/>
              <w:left w:w="15" w:type="dxa"/>
              <w:bottom w:w="0" w:type="dxa"/>
              <w:right w:w="15" w:type="dxa"/>
            </w:tcMar>
            <w:vAlign w:val="center"/>
          </w:tcPr>
          <w:p w14:paraId="03232D3E">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社会消费品零售总额（亿元）</w:t>
            </w:r>
          </w:p>
        </w:tc>
        <w:tc>
          <w:tcPr>
            <w:tcW w:w="607" w:type="pct"/>
            <w:shd w:val="clear" w:color="auto" w:fill="auto"/>
            <w:tcMar>
              <w:top w:w="15" w:type="dxa"/>
              <w:left w:w="15" w:type="dxa"/>
              <w:bottom w:w="0" w:type="dxa"/>
              <w:right w:w="15" w:type="dxa"/>
            </w:tcMar>
            <w:vAlign w:val="center"/>
          </w:tcPr>
          <w:p w14:paraId="2749FA78">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482</w:t>
            </w:r>
          </w:p>
        </w:tc>
        <w:tc>
          <w:tcPr>
            <w:tcW w:w="605" w:type="pct"/>
            <w:shd w:val="clear" w:color="auto" w:fill="auto"/>
            <w:tcMar>
              <w:top w:w="15" w:type="dxa"/>
              <w:left w:w="15" w:type="dxa"/>
              <w:bottom w:w="0" w:type="dxa"/>
              <w:right w:w="15" w:type="dxa"/>
            </w:tcMar>
            <w:vAlign w:val="center"/>
          </w:tcPr>
          <w:p w14:paraId="06C2BF7A">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191.84</w:t>
            </w:r>
          </w:p>
        </w:tc>
        <w:tc>
          <w:tcPr>
            <w:tcW w:w="605" w:type="pct"/>
            <w:shd w:val="clear" w:color="auto" w:fill="auto"/>
            <w:tcMar>
              <w:top w:w="15" w:type="dxa"/>
              <w:left w:w="15" w:type="dxa"/>
              <w:bottom w:w="0" w:type="dxa"/>
              <w:right w:w="15" w:type="dxa"/>
            </w:tcMar>
            <w:vAlign w:val="center"/>
          </w:tcPr>
          <w:p w14:paraId="38F16D42">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235.55</w:t>
            </w:r>
          </w:p>
        </w:tc>
        <w:tc>
          <w:tcPr>
            <w:tcW w:w="682" w:type="pct"/>
            <w:shd w:val="clear" w:color="auto" w:fill="auto"/>
            <w:tcMar>
              <w:top w:w="15" w:type="dxa"/>
              <w:left w:w="15" w:type="dxa"/>
              <w:bottom w:w="0" w:type="dxa"/>
              <w:right w:w="15" w:type="dxa"/>
            </w:tcMar>
            <w:vAlign w:val="center"/>
          </w:tcPr>
          <w:p w14:paraId="7C342135">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四经普调整数，未完成</w:t>
            </w:r>
          </w:p>
        </w:tc>
      </w:tr>
      <w:tr w14:paraId="6B90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02FFAF1E">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272ED0E4">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7</w:t>
            </w:r>
          </w:p>
        </w:tc>
        <w:tc>
          <w:tcPr>
            <w:tcW w:w="1803" w:type="pct"/>
            <w:shd w:val="clear" w:color="auto" w:fill="auto"/>
            <w:tcMar>
              <w:top w:w="15" w:type="dxa"/>
              <w:left w:w="15" w:type="dxa"/>
              <w:bottom w:w="0" w:type="dxa"/>
              <w:right w:w="15" w:type="dxa"/>
            </w:tcMar>
            <w:vAlign w:val="center"/>
          </w:tcPr>
          <w:p w14:paraId="4675FEBC">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出口商品总值（亿元）</w:t>
            </w:r>
          </w:p>
        </w:tc>
        <w:tc>
          <w:tcPr>
            <w:tcW w:w="607" w:type="pct"/>
            <w:shd w:val="clear" w:color="auto" w:fill="auto"/>
            <w:tcMar>
              <w:top w:w="15" w:type="dxa"/>
              <w:left w:w="15" w:type="dxa"/>
              <w:bottom w:w="0" w:type="dxa"/>
              <w:right w:w="15" w:type="dxa"/>
            </w:tcMar>
            <w:vAlign w:val="center"/>
          </w:tcPr>
          <w:p w14:paraId="1BAB3BA4">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40</w:t>
            </w:r>
          </w:p>
        </w:tc>
        <w:tc>
          <w:tcPr>
            <w:tcW w:w="605" w:type="pct"/>
            <w:shd w:val="clear" w:color="auto" w:fill="auto"/>
            <w:tcMar>
              <w:top w:w="15" w:type="dxa"/>
              <w:left w:w="15" w:type="dxa"/>
              <w:bottom w:w="0" w:type="dxa"/>
              <w:right w:w="15" w:type="dxa"/>
            </w:tcMar>
            <w:vAlign w:val="center"/>
          </w:tcPr>
          <w:p w14:paraId="77D3A832">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38.96</w:t>
            </w:r>
          </w:p>
        </w:tc>
        <w:tc>
          <w:tcPr>
            <w:tcW w:w="605" w:type="pct"/>
            <w:shd w:val="clear" w:color="auto" w:fill="auto"/>
            <w:tcMar>
              <w:top w:w="15" w:type="dxa"/>
              <w:left w:w="15" w:type="dxa"/>
              <w:bottom w:w="0" w:type="dxa"/>
              <w:right w:w="15" w:type="dxa"/>
            </w:tcMar>
            <w:vAlign w:val="center"/>
          </w:tcPr>
          <w:p w14:paraId="1432AC04">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w:t>
            </w:r>
          </w:p>
        </w:tc>
        <w:tc>
          <w:tcPr>
            <w:tcW w:w="682" w:type="pct"/>
            <w:shd w:val="clear" w:color="auto" w:fill="auto"/>
            <w:tcMar>
              <w:top w:w="15" w:type="dxa"/>
              <w:left w:w="15" w:type="dxa"/>
              <w:bottom w:w="0" w:type="dxa"/>
              <w:right w:w="15" w:type="dxa"/>
            </w:tcMar>
          </w:tcPr>
          <w:p w14:paraId="10E208FB">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海关未反馈数据，预计可以完成</w:t>
            </w:r>
          </w:p>
        </w:tc>
      </w:tr>
      <w:tr w14:paraId="26E6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restart"/>
            <w:shd w:val="clear" w:color="auto" w:fill="auto"/>
            <w:tcMar>
              <w:top w:w="15" w:type="dxa"/>
              <w:left w:w="15" w:type="dxa"/>
              <w:bottom w:w="0" w:type="dxa"/>
              <w:right w:w="15" w:type="dxa"/>
            </w:tcMar>
            <w:vAlign w:val="center"/>
          </w:tcPr>
          <w:p w14:paraId="644835A1">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结构</w:t>
            </w:r>
          </w:p>
          <w:p w14:paraId="131207DB">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优化</w:t>
            </w:r>
          </w:p>
        </w:tc>
        <w:tc>
          <w:tcPr>
            <w:tcW w:w="316" w:type="pct"/>
            <w:shd w:val="clear" w:color="auto" w:fill="auto"/>
            <w:tcMar>
              <w:top w:w="15" w:type="dxa"/>
              <w:left w:w="15" w:type="dxa"/>
              <w:bottom w:w="0" w:type="dxa"/>
              <w:right w:w="15" w:type="dxa"/>
            </w:tcMar>
            <w:vAlign w:val="center"/>
          </w:tcPr>
          <w:p w14:paraId="14390F24">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8</w:t>
            </w:r>
          </w:p>
        </w:tc>
        <w:tc>
          <w:tcPr>
            <w:tcW w:w="1803" w:type="pct"/>
            <w:shd w:val="clear" w:color="auto" w:fill="auto"/>
            <w:tcMar>
              <w:top w:w="15" w:type="dxa"/>
              <w:left w:w="15" w:type="dxa"/>
              <w:bottom w:w="0" w:type="dxa"/>
              <w:right w:w="15" w:type="dxa"/>
            </w:tcMar>
            <w:vAlign w:val="center"/>
          </w:tcPr>
          <w:p w14:paraId="57D83D19">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服务业增加值占GDP比重（%）</w:t>
            </w:r>
          </w:p>
        </w:tc>
        <w:tc>
          <w:tcPr>
            <w:tcW w:w="607" w:type="pct"/>
            <w:shd w:val="clear" w:color="auto" w:fill="auto"/>
            <w:tcMar>
              <w:top w:w="15" w:type="dxa"/>
              <w:left w:w="15" w:type="dxa"/>
              <w:bottom w:w="0" w:type="dxa"/>
              <w:right w:w="15" w:type="dxa"/>
            </w:tcMar>
            <w:vAlign w:val="center"/>
          </w:tcPr>
          <w:p w14:paraId="57151CCD">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60</w:t>
            </w:r>
          </w:p>
        </w:tc>
        <w:tc>
          <w:tcPr>
            <w:tcW w:w="605" w:type="pct"/>
            <w:shd w:val="clear" w:color="auto" w:fill="auto"/>
            <w:tcMar>
              <w:top w:w="15" w:type="dxa"/>
              <w:left w:w="15" w:type="dxa"/>
              <w:bottom w:w="0" w:type="dxa"/>
              <w:right w:w="15" w:type="dxa"/>
            </w:tcMar>
            <w:vAlign w:val="center"/>
          </w:tcPr>
          <w:p w14:paraId="0DA571BE">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56.6</w:t>
            </w:r>
          </w:p>
        </w:tc>
        <w:tc>
          <w:tcPr>
            <w:tcW w:w="605" w:type="pct"/>
            <w:shd w:val="clear" w:color="auto" w:fill="auto"/>
            <w:tcMar>
              <w:top w:w="15" w:type="dxa"/>
              <w:left w:w="15" w:type="dxa"/>
              <w:bottom w:w="0" w:type="dxa"/>
              <w:right w:w="15" w:type="dxa"/>
            </w:tcMar>
            <w:vAlign w:val="center"/>
          </w:tcPr>
          <w:p w14:paraId="3935AAC1">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63.77</w:t>
            </w:r>
          </w:p>
        </w:tc>
        <w:tc>
          <w:tcPr>
            <w:tcW w:w="682" w:type="pct"/>
            <w:shd w:val="clear" w:color="auto" w:fill="auto"/>
            <w:tcMar>
              <w:top w:w="15" w:type="dxa"/>
              <w:left w:w="15" w:type="dxa"/>
              <w:bottom w:w="0" w:type="dxa"/>
              <w:right w:w="15" w:type="dxa"/>
            </w:tcMar>
          </w:tcPr>
          <w:p w14:paraId="0900B0D9">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w:t>
            </w:r>
          </w:p>
        </w:tc>
      </w:tr>
      <w:tr w14:paraId="6146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3CA786CA">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46D0B6E9">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9</w:t>
            </w:r>
          </w:p>
        </w:tc>
        <w:tc>
          <w:tcPr>
            <w:tcW w:w="1803" w:type="pct"/>
            <w:shd w:val="clear" w:color="auto" w:fill="auto"/>
            <w:tcMar>
              <w:top w:w="15" w:type="dxa"/>
              <w:left w:w="15" w:type="dxa"/>
              <w:bottom w:w="0" w:type="dxa"/>
              <w:right w:w="15" w:type="dxa"/>
            </w:tcMar>
            <w:vAlign w:val="center"/>
          </w:tcPr>
          <w:p w14:paraId="42FCA431">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高新技术产业产值占全区规模以上工业产值比重（%）</w:t>
            </w:r>
          </w:p>
        </w:tc>
        <w:tc>
          <w:tcPr>
            <w:tcW w:w="607" w:type="pct"/>
            <w:shd w:val="clear" w:color="auto" w:fill="auto"/>
            <w:tcMar>
              <w:top w:w="15" w:type="dxa"/>
              <w:left w:w="15" w:type="dxa"/>
              <w:bottom w:w="0" w:type="dxa"/>
              <w:right w:w="15" w:type="dxa"/>
            </w:tcMar>
            <w:vAlign w:val="center"/>
          </w:tcPr>
          <w:p w14:paraId="088F5317">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60</w:t>
            </w:r>
          </w:p>
        </w:tc>
        <w:tc>
          <w:tcPr>
            <w:tcW w:w="605" w:type="pct"/>
            <w:shd w:val="clear" w:color="auto" w:fill="auto"/>
            <w:tcMar>
              <w:top w:w="15" w:type="dxa"/>
              <w:left w:w="15" w:type="dxa"/>
              <w:bottom w:w="0" w:type="dxa"/>
              <w:right w:w="15" w:type="dxa"/>
            </w:tcMar>
            <w:vAlign w:val="center"/>
          </w:tcPr>
          <w:p w14:paraId="26267AF3">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45.4</w:t>
            </w:r>
          </w:p>
        </w:tc>
        <w:tc>
          <w:tcPr>
            <w:tcW w:w="605" w:type="pct"/>
            <w:shd w:val="clear" w:color="auto" w:fill="auto"/>
            <w:tcMar>
              <w:top w:w="15" w:type="dxa"/>
              <w:left w:w="15" w:type="dxa"/>
              <w:bottom w:w="0" w:type="dxa"/>
              <w:right w:w="15" w:type="dxa"/>
            </w:tcMar>
            <w:vAlign w:val="center"/>
          </w:tcPr>
          <w:p w14:paraId="56BBB301">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41.4</w:t>
            </w:r>
          </w:p>
        </w:tc>
        <w:tc>
          <w:tcPr>
            <w:tcW w:w="682" w:type="pct"/>
            <w:shd w:val="clear" w:color="auto" w:fill="auto"/>
            <w:tcMar>
              <w:top w:w="15" w:type="dxa"/>
              <w:left w:w="15" w:type="dxa"/>
              <w:bottom w:w="0" w:type="dxa"/>
              <w:right w:w="15" w:type="dxa"/>
            </w:tcMar>
            <w:vAlign w:val="center"/>
          </w:tcPr>
          <w:p w14:paraId="404E3C53">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快报数，未完成</w:t>
            </w:r>
          </w:p>
        </w:tc>
      </w:tr>
      <w:tr w14:paraId="510D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trPr>
        <w:tc>
          <w:tcPr>
            <w:tcW w:w="380" w:type="pct"/>
            <w:vMerge w:val="continue"/>
            <w:vAlign w:val="center"/>
          </w:tcPr>
          <w:p w14:paraId="1FC5DDE4">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315A2D81">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10</w:t>
            </w:r>
          </w:p>
        </w:tc>
        <w:tc>
          <w:tcPr>
            <w:tcW w:w="1803" w:type="pct"/>
            <w:shd w:val="clear" w:color="auto" w:fill="auto"/>
            <w:tcMar>
              <w:top w:w="15" w:type="dxa"/>
              <w:left w:w="15" w:type="dxa"/>
              <w:bottom w:w="0" w:type="dxa"/>
              <w:right w:w="15" w:type="dxa"/>
            </w:tcMar>
            <w:vAlign w:val="center"/>
          </w:tcPr>
          <w:p w14:paraId="75AE4B63">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规模以上工业全员劳动生产率（万元/人）</w:t>
            </w:r>
          </w:p>
        </w:tc>
        <w:tc>
          <w:tcPr>
            <w:tcW w:w="607" w:type="pct"/>
            <w:shd w:val="clear" w:color="auto" w:fill="auto"/>
            <w:tcMar>
              <w:top w:w="15" w:type="dxa"/>
              <w:left w:w="15" w:type="dxa"/>
              <w:bottom w:w="0" w:type="dxa"/>
              <w:right w:w="15" w:type="dxa"/>
            </w:tcMar>
            <w:vAlign w:val="center"/>
          </w:tcPr>
          <w:p w14:paraId="44240110">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25</w:t>
            </w:r>
          </w:p>
        </w:tc>
        <w:tc>
          <w:tcPr>
            <w:tcW w:w="605" w:type="pct"/>
            <w:shd w:val="clear" w:color="auto" w:fill="auto"/>
            <w:tcMar>
              <w:top w:w="15" w:type="dxa"/>
              <w:left w:w="15" w:type="dxa"/>
              <w:bottom w:w="0" w:type="dxa"/>
              <w:right w:w="15" w:type="dxa"/>
            </w:tcMar>
            <w:vAlign w:val="center"/>
          </w:tcPr>
          <w:p w14:paraId="478693D5">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18.1</w:t>
            </w:r>
          </w:p>
        </w:tc>
        <w:tc>
          <w:tcPr>
            <w:tcW w:w="605" w:type="pct"/>
            <w:shd w:val="clear" w:color="auto" w:fill="auto"/>
            <w:tcMar>
              <w:top w:w="15" w:type="dxa"/>
              <w:left w:w="15" w:type="dxa"/>
              <w:bottom w:w="0" w:type="dxa"/>
              <w:right w:w="15" w:type="dxa"/>
            </w:tcMar>
            <w:vAlign w:val="center"/>
          </w:tcPr>
          <w:p w14:paraId="6AB2049D">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30.5</w:t>
            </w:r>
          </w:p>
        </w:tc>
        <w:tc>
          <w:tcPr>
            <w:tcW w:w="682" w:type="pct"/>
            <w:shd w:val="clear" w:color="auto" w:fill="auto"/>
            <w:tcMar>
              <w:top w:w="15" w:type="dxa"/>
              <w:left w:w="15" w:type="dxa"/>
              <w:bottom w:w="0" w:type="dxa"/>
              <w:right w:w="15" w:type="dxa"/>
            </w:tcMar>
            <w:vAlign w:val="center"/>
          </w:tcPr>
          <w:p w14:paraId="2E2B7C23">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快报数，已完成</w:t>
            </w:r>
          </w:p>
        </w:tc>
      </w:tr>
      <w:tr w14:paraId="3F1E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restart"/>
            <w:shd w:val="clear" w:color="auto" w:fill="auto"/>
            <w:tcMar>
              <w:top w:w="15" w:type="dxa"/>
              <w:left w:w="15" w:type="dxa"/>
              <w:bottom w:w="0" w:type="dxa"/>
              <w:right w:w="15" w:type="dxa"/>
            </w:tcMar>
            <w:vAlign w:val="center"/>
          </w:tcPr>
          <w:p w14:paraId="6174B104">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文化</w:t>
            </w:r>
          </w:p>
          <w:p w14:paraId="419A1C11">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产业</w:t>
            </w:r>
          </w:p>
        </w:tc>
        <w:tc>
          <w:tcPr>
            <w:tcW w:w="316" w:type="pct"/>
            <w:shd w:val="clear" w:color="auto" w:fill="auto"/>
            <w:tcMar>
              <w:top w:w="15" w:type="dxa"/>
              <w:left w:w="15" w:type="dxa"/>
              <w:bottom w:w="0" w:type="dxa"/>
              <w:right w:w="15" w:type="dxa"/>
            </w:tcMar>
            <w:vAlign w:val="center"/>
          </w:tcPr>
          <w:p w14:paraId="5506DBCE">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11</w:t>
            </w:r>
          </w:p>
        </w:tc>
        <w:tc>
          <w:tcPr>
            <w:tcW w:w="1803" w:type="pct"/>
            <w:shd w:val="clear" w:color="auto" w:fill="auto"/>
            <w:tcMar>
              <w:top w:w="15" w:type="dxa"/>
              <w:left w:w="15" w:type="dxa"/>
              <w:bottom w:w="0" w:type="dxa"/>
              <w:right w:w="15" w:type="dxa"/>
            </w:tcMar>
            <w:vAlign w:val="center"/>
          </w:tcPr>
          <w:p w14:paraId="7BCE0687">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旅游业总收入（亿元）</w:t>
            </w:r>
          </w:p>
        </w:tc>
        <w:tc>
          <w:tcPr>
            <w:tcW w:w="607" w:type="pct"/>
            <w:shd w:val="clear" w:color="auto" w:fill="auto"/>
            <w:tcMar>
              <w:top w:w="15" w:type="dxa"/>
              <w:left w:w="15" w:type="dxa"/>
              <w:bottom w:w="0" w:type="dxa"/>
              <w:right w:w="15" w:type="dxa"/>
            </w:tcMar>
            <w:vAlign w:val="center"/>
          </w:tcPr>
          <w:p w14:paraId="7835B767">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年均增长10%</w:t>
            </w:r>
          </w:p>
        </w:tc>
        <w:tc>
          <w:tcPr>
            <w:tcW w:w="605" w:type="pct"/>
            <w:shd w:val="clear" w:color="auto" w:fill="auto"/>
            <w:tcMar>
              <w:top w:w="15" w:type="dxa"/>
              <w:left w:w="15" w:type="dxa"/>
              <w:bottom w:w="0" w:type="dxa"/>
              <w:right w:w="15" w:type="dxa"/>
            </w:tcMar>
            <w:vAlign w:val="center"/>
          </w:tcPr>
          <w:p w14:paraId="65D4203A">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62.43</w:t>
            </w:r>
          </w:p>
        </w:tc>
        <w:tc>
          <w:tcPr>
            <w:tcW w:w="605" w:type="pct"/>
            <w:shd w:val="clear" w:color="auto" w:fill="auto"/>
            <w:tcMar>
              <w:top w:w="15" w:type="dxa"/>
              <w:left w:w="15" w:type="dxa"/>
              <w:bottom w:w="0" w:type="dxa"/>
              <w:right w:w="15" w:type="dxa"/>
            </w:tcMar>
            <w:vAlign w:val="center"/>
          </w:tcPr>
          <w:p w14:paraId="3E9DF12E">
            <w:pPr>
              <w:widowControl w:val="0"/>
              <w:spacing w:line="360" w:lineRule="exact"/>
              <w:jc w:val="center"/>
              <w:rPr>
                <w:rFonts w:ascii="Times New Roman" w:hAnsi="Times New Roman" w:eastAsia="方正仿宋简体"/>
                <w:color w:val="000000" w:themeColor="text1"/>
                <w:highlight w:val="yellow"/>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68.19</w:t>
            </w:r>
          </w:p>
        </w:tc>
        <w:tc>
          <w:tcPr>
            <w:tcW w:w="682" w:type="pct"/>
            <w:shd w:val="clear" w:color="auto" w:fill="auto"/>
            <w:tcMar>
              <w:top w:w="15" w:type="dxa"/>
              <w:left w:w="15" w:type="dxa"/>
              <w:bottom w:w="0" w:type="dxa"/>
              <w:right w:w="15" w:type="dxa"/>
            </w:tcMar>
            <w:vAlign w:val="center"/>
          </w:tcPr>
          <w:p w14:paraId="5583DC28">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已完成，疫情影响回落</w:t>
            </w:r>
          </w:p>
        </w:tc>
      </w:tr>
      <w:tr w14:paraId="496C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73EC3C6E">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15057E9F">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12</w:t>
            </w:r>
          </w:p>
        </w:tc>
        <w:tc>
          <w:tcPr>
            <w:tcW w:w="1803" w:type="pct"/>
            <w:shd w:val="clear" w:color="auto" w:fill="auto"/>
            <w:tcMar>
              <w:top w:w="15" w:type="dxa"/>
              <w:left w:w="15" w:type="dxa"/>
              <w:bottom w:w="0" w:type="dxa"/>
              <w:right w:w="15" w:type="dxa"/>
            </w:tcMar>
            <w:vAlign w:val="center"/>
          </w:tcPr>
          <w:p w14:paraId="5D905F1C">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年接待游客总量（万人次）</w:t>
            </w:r>
          </w:p>
        </w:tc>
        <w:tc>
          <w:tcPr>
            <w:tcW w:w="607" w:type="pct"/>
            <w:shd w:val="clear" w:color="auto" w:fill="auto"/>
            <w:tcMar>
              <w:top w:w="15" w:type="dxa"/>
              <w:left w:w="15" w:type="dxa"/>
              <w:bottom w:w="0" w:type="dxa"/>
              <w:right w:w="15" w:type="dxa"/>
            </w:tcMar>
            <w:vAlign w:val="center"/>
          </w:tcPr>
          <w:p w14:paraId="2D7B973A">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800-900</w:t>
            </w:r>
          </w:p>
        </w:tc>
        <w:tc>
          <w:tcPr>
            <w:tcW w:w="605" w:type="pct"/>
            <w:shd w:val="clear" w:color="auto" w:fill="auto"/>
            <w:tcMar>
              <w:top w:w="15" w:type="dxa"/>
              <w:left w:w="15" w:type="dxa"/>
              <w:bottom w:w="0" w:type="dxa"/>
              <w:right w:w="15" w:type="dxa"/>
            </w:tcMar>
            <w:vAlign w:val="center"/>
          </w:tcPr>
          <w:p w14:paraId="7E8041FE">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595.72</w:t>
            </w:r>
          </w:p>
        </w:tc>
        <w:tc>
          <w:tcPr>
            <w:tcW w:w="605" w:type="pct"/>
            <w:shd w:val="clear" w:color="auto" w:fill="auto"/>
            <w:tcMar>
              <w:top w:w="15" w:type="dxa"/>
              <w:left w:w="15" w:type="dxa"/>
              <w:bottom w:w="0" w:type="dxa"/>
              <w:right w:w="15" w:type="dxa"/>
            </w:tcMar>
            <w:vAlign w:val="center"/>
          </w:tcPr>
          <w:p w14:paraId="24F87202">
            <w:pPr>
              <w:widowControl w:val="0"/>
              <w:spacing w:line="360" w:lineRule="exact"/>
              <w:jc w:val="center"/>
              <w:rPr>
                <w:rFonts w:ascii="Times New Roman" w:hAnsi="Times New Roman" w:eastAsia="方正仿宋简体"/>
                <w:color w:val="000000" w:themeColor="text1"/>
                <w:highlight w:val="yellow"/>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558.16</w:t>
            </w:r>
          </w:p>
        </w:tc>
        <w:tc>
          <w:tcPr>
            <w:tcW w:w="682" w:type="pct"/>
            <w:shd w:val="clear" w:color="auto" w:fill="auto"/>
            <w:tcMar>
              <w:top w:w="15" w:type="dxa"/>
              <w:left w:w="15" w:type="dxa"/>
              <w:bottom w:w="0" w:type="dxa"/>
              <w:right w:w="15" w:type="dxa"/>
            </w:tcMar>
            <w:vAlign w:val="center"/>
          </w:tcPr>
          <w:p w14:paraId="404F7C88">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已完成，疫情影响回落</w:t>
            </w:r>
          </w:p>
        </w:tc>
      </w:tr>
      <w:tr w14:paraId="782F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45145666">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4E2B5F17">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13</w:t>
            </w:r>
          </w:p>
        </w:tc>
        <w:tc>
          <w:tcPr>
            <w:tcW w:w="1803" w:type="pct"/>
            <w:shd w:val="clear" w:color="auto" w:fill="auto"/>
            <w:tcMar>
              <w:top w:w="15" w:type="dxa"/>
              <w:left w:w="15" w:type="dxa"/>
              <w:bottom w:w="0" w:type="dxa"/>
              <w:right w:w="15" w:type="dxa"/>
            </w:tcMar>
            <w:vAlign w:val="center"/>
          </w:tcPr>
          <w:p w14:paraId="1E845868">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省级以上文化产业示范基地（家）</w:t>
            </w:r>
          </w:p>
        </w:tc>
        <w:tc>
          <w:tcPr>
            <w:tcW w:w="607" w:type="pct"/>
            <w:shd w:val="clear" w:color="auto" w:fill="auto"/>
            <w:tcMar>
              <w:top w:w="15" w:type="dxa"/>
              <w:left w:w="15" w:type="dxa"/>
              <w:bottom w:w="0" w:type="dxa"/>
              <w:right w:w="15" w:type="dxa"/>
            </w:tcMar>
            <w:vAlign w:val="center"/>
          </w:tcPr>
          <w:p w14:paraId="5ACDFAFD">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w:t>
            </w:r>
          </w:p>
        </w:tc>
        <w:tc>
          <w:tcPr>
            <w:tcW w:w="605" w:type="pct"/>
            <w:shd w:val="clear" w:color="auto" w:fill="auto"/>
            <w:tcMar>
              <w:top w:w="15" w:type="dxa"/>
              <w:left w:w="15" w:type="dxa"/>
              <w:bottom w:w="0" w:type="dxa"/>
              <w:right w:w="15" w:type="dxa"/>
            </w:tcMar>
            <w:vAlign w:val="center"/>
          </w:tcPr>
          <w:p w14:paraId="57AD42C3">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w:t>
            </w:r>
          </w:p>
        </w:tc>
        <w:tc>
          <w:tcPr>
            <w:tcW w:w="605" w:type="pct"/>
            <w:shd w:val="clear" w:color="auto" w:fill="auto"/>
            <w:tcMar>
              <w:top w:w="15" w:type="dxa"/>
              <w:left w:w="15" w:type="dxa"/>
              <w:bottom w:w="0" w:type="dxa"/>
              <w:right w:w="15" w:type="dxa"/>
            </w:tcMar>
            <w:vAlign w:val="center"/>
          </w:tcPr>
          <w:p w14:paraId="62D2748C">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3</w:t>
            </w:r>
          </w:p>
        </w:tc>
        <w:tc>
          <w:tcPr>
            <w:tcW w:w="682" w:type="pct"/>
            <w:shd w:val="clear" w:color="auto" w:fill="auto"/>
            <w:tcMar>
              <w:top w:w="15" w:type="dxa"/>
              <w:left w:w="15" w:type="dxa"/>
              <w:bottom w:w="0" w:type="dxa"/>
              <w:right w:w="15" w:type="dxa"/>
            </w:tcMar>
            <w:vAlign w:val="center"/>
          </w:tcPr>
          <w:p w14:paraId="602F6EF2">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未完成</w:t>
            </w:r>
          </w:p>
        </w:tc>
      </w:tr>
      <w:tr w14:paraId="68A9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060AD922">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39527B32">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14</w:t>
            </w:r>
          </w:p>
        </w:tc>
        <w:tc>
          <w:tcPr>
            <w:tcW w:w="1803" w:type="pct"/>
            <w:shd w:val="clear" w:color="auto" w:fill="auto"/>
            <w:tcMar>
              <w:top w:w="15" w:type="dxa"/>
              <w:left w:w="15" w:type="dxa"/>
              <w:bottom w:w="0" w:type="dxa"/>
              <w:right w:w="15" w:type="dxa"/>
            </w:tcMar>
            <w:vAlign w:val="center"/>
          </w:tcPr>
          <w:p w14:paraId="79E99549">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人均公共绿地（平方米）</w:t>
            </w:r>
          </w:p>
        </w:tc>
        <w:tc>
          <w:tcPr>
            <w:tcW w:w="607" w:type="pct"/>
            <w:shd w:val="clear" w:color="auto" w:fill="auto"/>
            <w:tcMar>
              <w:top w:w="15" w:type="dxa"/>
              <w:left w:w="15" w:type="dxa"/>
              <w:bottom w:w="0" w:type="dxa"/>
              <w:right w:w="15" w:type="dxa"/>
            </w:tcMar>
            <w:vAlign w:val="center"/>
          </w:tcPr>
          <w:p w14:paraId="62DFC3B4">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14.5</w:t>
            </w:r>
          </w:p>
        </w:tc>
        <w:tc>
          <w:tcPr>
            <w:tcW w:w="605" w:type="pct"/>
            <w:shd w:val="clear" w:color="auto" w:fill="auto"/>
            <w:tcMar>
              <w:top w:w="15" w:type="dxa"/>
              <w:left w:w="15" w:type="dxa"/>
              <w:bottom w:w="0" w:type="dxa"/>
              <w:right w:w="15" w:type="dxa"/>
            </w:tcMar>
            <w:vAlign w:val="center"/>
          </w:tcPr>
          <w:p w14:paraId="24ABF70B">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14.1</w:t>
            </w:r>
          </w:p>
        </w:tc>
        <w:tc>
          <w:tcPr>
            <w:tcW w:w="605" w:type="pct"/>
            <w:shd w:val="clear" w:color="auto" w:fill="auto"/>
            <w:tcMar>
              <w:top w:w="15" w:type="dxa"/>
              <w:left w:w="15" w:type="dxa"/>
              <w:bottom w:w="0" w:type="dxa"/>
              <w:right w:w="15" w:type="dxa"/>
            </w:tcMar>
            <w:vAlign w:val="center"/>
          </w:tcPr>
          <w:p w14:paraId="39D7BBB0">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14.87</w:t>
            </w:r>
          </w:p>
        </w:tc>
        <w:tc>
          <w:tcPr>
            <w:tcW w:w="682" w:type="pct"/>
            <w:shd w:val="clear" w:color="auto" w:fill="auto"/>
            <w:tcMar>
              <w:top w:w="15" w:type="dxa"/>
              <w:left w:w="15" w:type="dxa"/>
              <w:bottom w:w="0" w:type="dxa"/>
              <w:right w:w="15" w:type="dxa"/>
            </w:tcMar>
          </w:tcPr>
          <w:p w14:paraId="2271728E">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w:t>
            </w:r>
          </w:p>
        </w:tc>
      </w:tr>
      <w:tr w14:paraId="3099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2CA95B03">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21CD0653">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15</w:t>
            </w:r>
          </w:p>
        </w:tc>
        <w:tc>
          <w:tcPr>
            <w:tcW w:w="1803" w:type="pct"/>
            <w:shd w:val="clear" w:color="auto" w:fill="auto"/>
            <w:tcMar>
              <w:top w:w="15" w:type="dxa"/>
              <w:left w:w="15" w:type="dxa"/>
              <w:bottom w:w="0" w:type="dxa"/>
              <w:right w:w="15" w:type="dxa"/>
            </w:tcMar>
            <w:vAlign w:val="center"/>
          </w:tcPr>
          <w:p w14:paraId="3CC16322">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建成区绿地率（%）</w:t>
            </w:r>
          </w:p>
        </w:tc>
        <w:tc>
          <w:tcPr>
            <w:tcW w:w="607" w:type="pct"/>
            <w:shd w:val="clear" w:color="auto" w:fill="auto"/>
            <w:tcMar>
              <w:top w:w="15" w:type="dxa"/>
              <w:left w:w="15" w:type="dxa"/>
              <w:bottom w:w="0" w:type="dxa"/>
              <w:right w:w="15" w:type="dxa"/>
            </w:tcMar>
            <w:vAlign w:val="center"/>
          </w:tcPr>
          <w:p w14:paraId="61837EF9">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43</w:t>
            </w:r>
          </w:p>
        </w:tc>
        <w:tc>
          <w:tcPr>
            <w:tcW w:w="605" w:type="pct"/>
            <w:shd w:val="clear" w:color="auto" w:fill="auto"/>
            <w:tcMar>
              <w:top w:w="15" w:type="dxa"/>
              <w:left w:w="15" w:type="dxa"/>
              <w:bottom w:w="0" w:type="dxa"/>
              <w:right w:w="15" w:type="dxa"/>
            </w:tcMar>
            <w:vAlign w:val="center"/>
          </w:tcPr>
          <w:p w14:paraId="2980F9E1">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40.27</w:t>
            </w:r>
          </w:p>
        </w:tc>
        <w:tc>
          <w:tcPr>
            <w:tcW w:w="605" w:type="pct"/>
            <w:shd w:val="clear" w:color="auto" w:fill="auto"/>
            <w:tcMar>
              <w:top w:w="15" w:type="dxa"/>
              <w:left w:w="15" w:type="dxa"/>
              <w:bottom w:w="0" w:type="dxa"/>
              <w:right w:w="15" w:type="dxa"/>
            </w:tcMar>
            <w:vAlign w:val="center"/>
          </w:tcPr>
          <w:p w14:paraId="5519EDF1">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40.3</w:t>
            </w:r>
          </w:p>
        </w:tc>
        <w:tc>
          <w:tcPr>
            <w:tcW w:w="682" w:type="pct"/>
            <w:shd w:val="clear" w:color="auto" w:fill="auto"/>
            <w:tcMar>
              <w:top w:w="15" w:type="dxa"/>
              <w:left w:w="15" w:type="dxa"/>
              <w:bottom w:w="0" w:type="dxa"/>
              <w:right w:w="15" w:type="dxa"/>
            </w:tcMar>
          </w:tcPr>
          <w:p w14:paraId="4C6ABBD3">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未完成</w:t>
            </w:r>
          </w:p>
        </w:tc>
      </w:tr>
      <w:tr w14:paraId="1F34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02E3E5A8">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6DC3CC39">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16</w:t>
            </w:r>
          </w:p>
        </w:tc>
        <w:tc>
          <w:tcPr>
            <w:tcW w:w="1803" w:type="pct"/>
            <w:shd w:val="clear" w:color="auto" w:fill="auto"/>
            <w:tcMar>
              <w:top w:w="15" w:type="dxa"/>
              <w:left w:w="15" w:type="dxa"/>
              <w:bottom w:w="0" w:type="dxa"/>
              <w:right w:w="15" w:type="dxa"/>
            </w:tcMar>
            <w:vAlign w:val="center"/>
          </w:tcPr>
          <w:p w14:paraId="61A9B9F9">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绿化覆盖率（%）</w:t>
            </w:r>
          </w:p>
        </w:tc>
        <w:tc>
          <w:tcPr>
            <w:tcW w:w="607" w:type="pct"/>
            <w:shd w:val="clear" w:color="auto" w:fill="auto"/>
            <w:tcMar>
              <w:top w:w="15" w:type="dxa"/>
              <w:left w:w="15" w:type="dxa"/>
              <w:bottom w:w="0" w:type="dxa"/>
              <w:right w:w="15" w:type="dxa"/>
            </w:tcMar>
            <w:vAlign w:val="center"/>
          </w:tcPr>
          <w:p w14:paraId="0364D33B">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45.5</w:t>
            </w:r>
          </w:p>
        </w:tc>
        <w:tc>
          <w:tcPr>
            <w:tcW w:w="605" w:type="pct"/>
            <w:shd w:val="clear" w:color="auto" w:fill="auto"/>
            <w:tcMar>
              <w:top w:w="15" w:type="dxa"/>
              <w:left w:w="15" w:type="dxa"/>
              <w:bottom w:w="0" w:type="dxa"/>
              <w:right w:w="15" w:type="dxa"/>
            </w:tcMar>
            <w:vAlign w:val="center"/>
          </w:tcPr>
          <w:p w14:paraId="655B2014">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43.16</w:t>
            </w:r>
          </w:p>
        </w:tc>
        <w:tc>
          <w:tcPr>
            <w:tcW w:w="605" w:type="pct"/>
            <w:shd w:val="clear" w:color="auto" w:fill="auto"/>
            <w:tcMar>
              <w:top w:w="15" w:type="dxa"/>
              <w:left w:w="15" w:type="dxa"/>
              <w:bottom w:w="0" w:type="dxa"/>
              <w:right w:w="15" w:type="dxa"/>
            </w:tcMar>
            <w:vAlign w:val="center"/>
          </w:tcPr>
          <w:p w14:paraId="42FEBC87">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43.2</w:t>
            </w:r>
          </w:p>
        </w:tc>
        <w:tc>
          <w:tcPr>
            <w:tcW w:w="682" w:type="pct"/>
            <w:shd w:val="clear" w:color="auto" w:fill="auto"/>
            <w:tcMar>
              <w:top w:w="15" w:type="dxa"/>
              <w:left w:w="15" w:type="dxa"/>
              <w:bottom w:w="0" w:type="dxa"/>
              <w:right w:w="15" w:type="dxa"/>
            </w:tcMar>
          </w:tcPr>
          <w:p w14:paraId="28909E7B">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未完成</w:t>
            </w:r>
          </w:p>
        </w:tc>
      </w:tr>
      <w:tr w14:paraId="0D90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restart"/>
            <w:shd w:val="clear" w:color="auto" w:fill="auto"/>
            <w:tcMar>
              <w:top w:w="15" w:type="dxa"/>
              <w:left w:w="15" w:type="dxa"/>
              <w:bottom w:w="0" w:type="dxa"/>
              <w:right w:w="15" w:type="dxa"/>
            </w:tcMar>
            <w:vAlign w:val="center"/>
          </w:tcPr>
          <w:p w14:paraId="26C2D010">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民生</w:t>
            </w:r>
          </w:p>
          <w:p w14:paraId="61657748">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福祉</w:t>
            </w:r>
          </w:p>
        </w:tc>
        <w:tc>
          <w:tcPr>
            <w:tcW w:w="316" w:type="pct"/>
            <w:shd w:val="clear" w:color="auto" w:fill="auto"/>
            <w:tcMar>
              <w:top w:w="15" w:type="dxa"/>
              <w:left w:w="15" w:type="dxa"/>
              <w:bottom w:w="0" w:type="dxa"/>
              <w:right w:w="15" w:type="dxa"/>
            </w:tcMar>
            <w:vAlign w:val="center"/>
          </w:tcPr>
          <w:p w14:paraId="27CE8BE2">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17</w:t>
            </w:r>
          </w:p>
        </w:tc>
        <w:tc>
          <w:tcPr>
            <w:tcW w:w="1803" w:type="pct"/>
            <w:shd w:val="clear" w:color="auto" w:fill="auto"/>
            <w:tcMar>
              <w:top w:w="15" w:type="dxa"/>
              <w:left w:w="15" w:type="dxa"/>
              <w:bottom w:w="0" w:type="dxa"/>
              <w:right w:w="15" w:type="dxa"/>
            </w:tcMar>
            <w:vAlign w:val="center"/>
          </w:tcPr>
          <w:p w14:paraId="6BED8CC2">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居民人均可支配收入（元）</w:t>
            </w:r>
          </w:p>
        </w:tc>
        <w:tc>
          <w:tcPr>
            <w:tcW w:w="607" w:type="pct"/>
            <w:shd w:val="clear" w:color="auto" w:fill="auto"/>
            <w:tcMar>
              <w:top w:w="15" w:type="dxa"/>
              <w:left w:w="15" w:type="dxa"/>
              <w:bottom w:w="0" w:type="dxa"/>
              <w:right w:w="15" w:type="dxa"/>
            </w:tcMar>
            <w:vAlign w:val="center"/>
          </w:tcPr>
          <w:p w14:paraId="702B9C16">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52000</w:t>
            </w:r>
          </w:p>
        </w:tc>
        <w:tc>
          <w:tcPr>
            <w:tcW w:w="605" w:type="pct"/>
            <w:shd w:val="clear" w:color="auto" w:fill="auto"/>
            <w:tcMar>
              <w:top w:w="15" w:type="dxa"/>
              <w:left w:w="15" w:type="dxa"/>
              <w:bottom w:w="0" w:type="dxa"/>
              <w:right w:w="15" w:type="dxa"/>
            </w:tcMar>
            <w:vAlign w:val="center"/>
          </w:tcPr>
          <w:p w14:paraId="6DF2FA64">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37302</w:t>
            </w:r>
          </w:p>
        </w:tc>
        <w:tc>
          <w:tcPr>
            <w:tcW w:w="605" w:type="pct"/>
            <w:shd w:val="clear" w:color="auto" w:fill="auto"/>
            <w:tcMar>
              <w:top w:w="15" w:type="dxa"/>
              <w:left w:w="15" w:type="dxa"/>
              <w:bottom w:w="0" w:type="dxa"/>
              <w:right w:w="15" w:type="dxa"/>
            </w:tcMar>
            <w:vAlign w:val="center"/>
          </w:tcPr>
          <w:p w14:paraId="79292F97">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49217</w:t>
            </w:r>
          </w:p>
        </w:tc>
        <w:tc>
          <w:tcPr>
            <w:tcW w:w="682" w:type="pct"/>
            <w:shd w:val="clear" w:color="auto" w:fill="auto"/>
            <w:tcMar>
              <w:top w:w="15" w:type="dxa"/>
              <w:left w:w="15" w:type="dxa"/>
              <w:bottom w:w="0" w:type="dxa"/>
              <w:right w:w="15" w:type="dxa"/>
            </w:tcMar>
          </w:tcPr>
          <w:p w14:paraId="1B0016A0">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未完成</w:t>
            </w:r>
          </w:p>
        </w:tc>
      </w:tr>
      <w:tr w14:paraId="7F9F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67C62658">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66013E9B">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18</w:t>
            </w:r>
          </w:p>
        </w:tc>
        <w:tc>
          <w:tcPr>
            <w:tcW w:w="1803" w:type="pct"/>
            <w:shd w:val="clear" w:color="auto" w:fill="auto"/>
            <w:tcMar>
              <w:top w:w="15" w:type="dxa"/>
              <w:left w:w="15" w:type="dxa"/>
              <w:bottom w:w="0" w:type="dxa"/>
              <w:right w:w="15" w:type="dxa"/>
            </w:tcMar>
            <w:vAlign w:val="center"/>
          </w:tcPr>
          <w:p w14:paraId="4F88202B">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城镇登记失业率（%）</w:t>
            </w:r>
          </w:p>
        </w:tc>
        <w:tc>
          <w:tcPr>
            <w:tcW w:w="607" w:type="pct"/>
            <w:shd w:val="clear" w:color="auto" w:fill="auto"/>
            <w:tcMar>
              <w:top w:w="15" w:type="dxa"/>
              <w:left w:w="15" w:type="dxa"/>
              <w:bottom w:w="0" w:type="dxa"/>
              <w:right w:w="15" w:type="dxa"/>
            </w:tcMar>
            <w:vAlign w:val="center"/>
          </w:tcPr>
          <w:p w14:paraId="6BBF0767">
            <w:pPr>
              <w:widowControl w:val="0"/>
              <w:spacing w:line="360" w:lineRule="exact"/>
              <w:jc w:val="center"/>
              <w:rPr>
                <w:rFonts w:ascii="Times New Roman" w:hAnsi="Times New Roman" w:eastAsia="方正仿宋简体"/>
                <w:color w:val="000000" w:themeColor="text1"/>
                <w:sz w:val="21"/>
                <w:szCs w:val="2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4.0以下</w:t>
            </w:r>
            <w:r>
              <w:rPr>
                <w:rFonts w:hint="eastAsia" w:ascii="Times New Roman" w:hAnsi="Times New Roman" w:eastAsia="方正仿宋简体"/>
                <w:color w:val="000000" w:themeColor="text1"/>
                <w:sz w:val="21"/>
                <w:szCs w:val="21"/>
                <w14:textFill>
                  <w14:solidFill>
                    <w14:schemeClr w14:val="tx1"/>
                  </w14:solidFill>
                </w14:textFill>
              </w:rPr>
              <w:t>(原:1.2以下)</w:t>
            </w:r>
          </w:p>
        </w:tc>
        <w:tc>
          <w:tcPr>
            <w:tcW w:w="605" w:type="pct"/>
            <w:shd w:val="clear" w:color="auto" w:fill="auto"/>
            <w:tcMar>
              <w:top w:w="15" w:type="dxa"/>
              <w:left w:w="15" w:type="dxa"/>
              <w:bottom w:w="0" w:type="dxa"/>
              <w:right w:w="15" w:type="dxa"/>
            </w:tcMar>
            <w:vAlign w:val="center"/>
          </w:tcPr>
          <w:p w14:paraId="447CE9EC">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0.866</w:t>
            </w:r>
          </w:p>
        </w:tc>
        <w:tc>
          <w:tcPr>
            <w:tcW w:w="605" w:type="pct"/>
            <w:shd w:val="clear" w:color="auto" w:fill="auto"/>
            <w:tcMar>
              <w:top w:w="15" w:type="dxa"/>
              <w:left w:w="15" w:type="dxa"/>
              <w:bottom w:w="0" w:type="dxa"/>
              <w:right w:w="15" w:type="dxa"/>
            </w:tcMar>
            <w:vAlign w:val="center"/>
          </w:tcPr>
          <w:p w14:paraId="7B5A1D3C">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2.0</w:t>
            </w:r>
          </w:p>
        </w:tc>
        <w:tc>
          <w:tcPr>
            <w:tcW w:w="682" w:type="pct"/>
            <w:shd w:val="clear" w:color="auto" w:fill="auto"/>
            <w:tcMar>
              <w:top w:w="15" w:type="dxa"/>
              <w:left w:w="15" w:type="dxa"/>
              <w:bottom w:w="0" w:type="dxa"/>
              <w:right w:w="15" w:type="dxa"/>
            </w:tcMar>
            <w:vAlign w:val="center"/>
          </w:tcPr>
          <w:p w14:paraId="7BFAA517">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w:t>
            </w:r>
          </w:p>
        </w:tc>
      </w:tr>
      <w:tr w14:paraId="73DC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1AFD608B">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0A18A160">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19</w:t>
            </w:r>
          </w:p>
        </w:tc>
        <w:tc>
          <w:tcPr>
            <w:tcW w:w="1803" w:type="pct"/>
            <w:shd w:val="clear" w:color="auto" w:fill="auto"/>
            <w:tcMar>
              <w:top w:w="15" w:type="dxa"/>
              <w:left w:w="15" w:type="dxa"/>
              <w:bottom w:w="0" w:type="dxa"/>
              <w:right w:w="15" w:type="dxa"/>
            </w:tcMar>
            <w:vAlign w:val="center"/>
          </w:tcPr>
          <w:p w14:paraId="6E16A82F">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城乡居民养老保险参保率（%）</w:t>
            </w:r>
          </w:p>
        </w:tc>
        <w:tc>
          <w:tcPr>
            <w:tcW w:w="607" w:type="pct"/>
            <w:shd w:val="clear" w:color="auto" w:fill="auto"/>
            <w:tcMar>
              <w:top w:w="15" w:type="dxa"/>
              <w:left w:w="15" w:type="dxa"/>
              <w:bottom w:w="0" w:type="dxa"/>
              <w:right w:w="15" w:type="dxa"/>
            </w:tcMar>
            <w:vAlign w:val="center"/>
          </w:tcPr>
          <w:p w14:paraId="2C79AC8A">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95</w:t>
            </w:r>
          </w:p>
        </w:tc>
        <w:tc>
          <w:tcPr>
            <w:tcW w:w="605" w:type="pct"/>
            <w:shd w:val="clear" w:color="auto" w:fill="auto"/>
            <w:tcMar>
              <w:top w:w="15" w:type="dxa"/>
              <w:left w:w="15" w:type="dxa"/>
              <w:bottom w:w="0" w:type="dxa"/>
              <w:right w:w="15" w:type="dxa"/>
            </w:tcMar>
            <w:vAlign w:val="center"/>
          </w:tcPr>
          <w:p w14:paraId="271FA8AA">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99.5</w:t>
            </w:r>
          </w:p>
        </w:tc>
        <w:tc>
          <w:tcPr>
            <w:tcW w:w="605" w:type="pct"/>
            <w:shd w:val="clear" w:color="auto" w:fill="auto"/>
            <w:tcMar>
              <w:top w:w="15" w:type="dxa"/>
              <w:left w:w="15" w:type="dxa"/>
              <w:bottom w:w="0" w:type="dxa"/>
              <w:right w:w="15" w:type="dxa"/>
            </w:tcMar>
            <w:vAlign w:val="center"/>
          </w:tcPr>
          <w:p w14:paraId="74232ED9">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99.6</w:t>
            </w:r>
          </w:p>
        </w:tc>
        <w:tc>
          <w:tcPr>
            <w:tcW w:w="682" w:type="pct"/>
            <w:shd w:val="clear" w:color="auto" w:fill="auto"/>
            <w:tcMar>
              <w:top w:w="15" w:type="dxa"/>
              <w:left w:w="15" w:type="dxa"/>
              <w:bottom w:w="0" w:type="dxa"/>
              <w:right w:w="15" w:type="dxa"/>
            </w:tcMar>
            <w:vAlign w:val="center"/>
          </w:tcPr>
          <w:p w14:paraId="314F886D">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w:t>
            </w:r>
          </w:p>
        </w:tc>
      </w:tr>
      <w:tr w14:paraId="6C26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restart"/>
            <w:vAlign w:val="center"/>
          </w:tcPr>
          <w:p w14:paraId="306AA7FE">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民生</w:t>
            </w:r>
          </w:p>
          <w:p w14:paraId="6143DF64">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福祉</w:t>
            </w:r>
          </w:p>
        </w:tc>
        <w:tc>
          <w:tcPr>
            <w:tcW w:w="316" w:type="pct"/>
            <w:shd w:val="clear" w:color="auto" w:fill="auto"/>
            <w:tcMar>
              <w:top w:w="15" w:type="dxa"/>
              <w:left w:w="15" w:type="dxa"/>
              <w:bottom w:w="0" w:type="dxa"/>
              <w:right w:w="15" w:type="dxa"/>
            </w:tcMar>
            <w:vAlign w:val="center"/>
          </w:tcPr>
          <w:p w14:paraId="7B671444">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20</w:t>
            </w:r>
          </w:p>
        </w:tc>
        <w:tc>
          <w:tcPr>
            <w:tcW w:w="1803" w:type="pct"/>
            <w:shd w:val="clear" w:color="auto" w:fill="auto"/>
            <w:tcMar>
              <w:top w:w="15" w:type="dxa"/>
              <w:left w:w="15" w:type="dxa"/>
              <w:bottom w:w="0" w:type="dxa"/>
              <w:right w:w="15" w:type="dxa"/>
            </w:tcMar>
            <w:vAlign w:val="center"/>
          </w:tcPr>
          <w:p w14:paraId="71842010">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城乡居民医保参保率（%）</w:t>
            </w:r>
          </w:p>
        </w:tc>
        <w:tc>
          <w:tcPr>
            <w:tcW w:w="607" w:type="pct"/>
            <w:shd w:val="clear" w:color="auto" w:fill="auto"/>
            <w:tcMar>
              <w:top w:w="15" w:type="dxa"/>
              <w:left w:w="15" w:type="dxa"/>
              <w:bottom w:w="0" w:type="dxa"/>
              <w:right w:w="15" w:type="dxa"/>
            </w:tcMar>
            <w:vAlign w:val="center"/>
          </w:tcPr>
          <w:p w14:paraId="76C93911">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95</w:t>
            </w:r>
          </w:p>
        </w:tc>
        <w:tc>
          <w:tcPr>
            <w:tcW w:w="605" w:type="pct"/>
            <w:shd w:val="clear" w:color="auto" w:fill="auto"/>
            <w:tcMar>
              <w:top w:w="15" w:type="dxa"/>
              <w:left w:w="15" w:type="dxa"/>
              <w:bottom w:w="0" w:type="dxa"/>
              <w:right w:w="15" w:type="dxa"/>
            </w:tcMar>
            <w:vAlign w:val="center"/>
          </w:tcPr>
          <w:p w14:paraId="35C4487D">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95</w:t>
            </w:r>
          </w:p>
        </w:tc>
        <w:tc>
          <w:tcPr>
            <w:tcW w:w="605" w:type="pct"/>
            <w:shd w:val="clear" w:color="auto" w:fill="auto"/>
            <w:tcMar>
              <w:top w:w="15" w:type="dxa"/>
              <w:left w:w="15" w:type="dxa"/>
              <w:bottom w:w="0" w:type="dxa"/>
              <w:right w:w="15" w:type="dxa"/>
            </w:tcMar>
            <w:vAlign w:val="center"/>
          </w:tcPr>
          <w:p w14:paraId="7F53BFF3">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96.2</w:t>
            </w:r>
          </w:p>
        </w:tc>
        <w:tc>
          <w:tcPr>
            <w:tcW w:w="682" w:type="pct"/>
            <w:shd w:val="clear" w:color="000000" w:fill="auto"/>
            <w:tcMar>
              <w:top w:w="15" w:type="dxa"/>
              <w:left w:w="15" w:type="dxa"/>
              <w:bottom w:w="0" w:type="dxa"/>
              <w:right w:w="15" w:type="dxa"/>
            </w:tcMar>
            <w:vAlign w:val="center"/>
          </w:tcPr>
          <w:p w14:paraId="3E752CF4">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w:t>
            </w:r>
          </w:p>
        </w:tc>
      </w:tr>
      <w:tr w14:paraId="6E95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51051188">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6D93AA3C">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21</w:t>
            </w:r>
          </w:p>
        </w:tc>
        <w:tc>
          <w:tcPr>
            <w:tcW w:w="1803" w:type="pct"/>
            <w:shd w:val="clear" w:color="auto" w:fill="auto"/>
            <w:tcMar>
              <w:top w:w="15" w:type="dxa"/>
              <w:left w:w="15" w:type="dxa"/>
              <w:bottom w:w="0" w:type="dxa"/>
              <w:right w:w="15" w:type="dxa"/>
            </w:tcMar>
            <w:vAlign w:val="center"/>
          </w:tcPr>
          <w:p w14:paraId="63B905BA">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每千人口医疗机构床位数（张）</w:t>
            </w:r>
          </w:p>
        </w:tc>
        <w:tc>
          <w:tcPr>
            <w:tcW w:w="607" w:type="pct"/>
            <w:shd w:val="clear" w:color="auto" w:fill="auto"/>
            <w:tcMar>
              <w:top w:w="15" w:type="dxa"/>
              <w:left w:w="15" w:type="dxa"/>
              <w:bottom w:w="0" w:type="dxa"/>
              <w:right w:w="15" w:type="dxa"/>
            </w:tcMar>
            <w:vAlign w:val="center"/>
          </w:tcPr>
          <w:p w14:paraId="02CA9527">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1.69</w:t>
            </w:r>
          </w:p>
        </w:tc>
        <w:tc>
          <w:tcPr>
            <w:tcW w:w="605" w:type="pct"/>
            <w:shd w:val="clear" w:color="auto" w:fill="auto"/>
            <w:tcMar>
              <w:top w:w="15" w:type="dxa"/>
              <w:left w:w="15" w:type="dxa"/>
              <w:bottom w:w="0" w:type="dxa"/>
              <w:right w:w="15" w:type="dxa"/>
            </w:tcMar>
            <w:vAlign w:val="center"/>
          </w:tcPr>
          <w:p w14:paraId="3DC91C96">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1.57</w:t>
            </w:r>
          </w:p>
        </w:tc>
        <w:tc>
          <w:tcPr>
            <w:tcW w:w="605" w:type="pct"/>
            <w:shd w:val="clear" w:color="auto" w:fill="auto"/>
            <w:tcMar>
              <w:top w:w="15" w:type="dxa"/>
              <w:left w:w="15" w:type="dxa"/>
              <w:bottom w:w="0" w:type="dxa"/>
              <w:right w:w="15" w:type="dxa"/>
            </w:tcMar>
            <w:vAlign w:val="center"/>
          </w:tcPr>
          <w:p w14:paraId="1A5E56A7">
            <w:pPr>
              <w:widowControl w:val="0"/>
              <w:spacing w:line="360" w:lineRule="exact"/>
              <w:jc w:val="center"/>
              <w:rPr>
                <w:rFonts w:ascii="Times New Roman" w:hAnsi="Times New Roman" w:eastAsia="方正仿宋简体"/>
                <w:color w:val="000000" w:themeColor="text1"/>
                <w:highlight w:val="yellow"/>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2.63</w:t>
            </w:r>
          </w:p>
        </w:tc>
        <w:tc>
          <w:tcPr>
            <w:tcW w:w="682" w:type="pct"/>
            <w:shd w:val="clear" w:color="auto" w:fill="auto"/>
            <w:tcMar>
              <w:top w:w="15" w:type="dxa"/>
              <w:left w:w="15" w:type="dxa"/>
              <w:bottom w:w="0" w:type="dxa"/>
              <w:right w:w="15" w:type="dxa"/>
            </w:tcMar>
            <w:vAlign w:val="center"/>
          </w:tcPr>
          <w:p w14:paraId="24CC70B1">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w:t>
            </w:r>
          </w:p>
        </w:tc>
      </w:tr>
      <w:tr w14:paraId="2CBB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3B4CEFEE">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1342EFA5">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22</w:t>
            </w:r>
          </w:p>
        </w:tc>
        <w:tc>
          <w:tcPr>
            <w:tcW w:w="1803" w:type="pct"/>
            <w:shd w:val="clear" w:color="auto" w:fill="auto"/>
            <w:tcMar>
              <w:top w:w="15" w:type="dxa"/>
              <w:left w:w="15" w:type="dxa"/>
              <w:bottom w:w="0" w:type="dxa"/>
              <w:right w:w="15" w:type="dxa"/>
            </w:tcMar>
            <w:vAlign w:val="center"/>
          </w:tcPr>
          <w:p w14:paraId="3609054F">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每千人口卫生技术人员数（人）</w:t>
            </w:r>
          </w:p>
        </w:tc>
        <w:tc>
          <w:tcPr>
            <w:tcW w:w="607" w:type="pct"/>
            <w:shd w:val="clear" w:color="auto" w:fill="auto"/>
            <w:tcMar>
              <w:top w:w="15" w:type="dxa"/>
              <w:left w:w="15" w:type="dxa"/>
              <w:bottom w:w="0" w:type="dxa"/>
              <w:right w:w="15" w:type="dxa"/>
            </w:tcMar>
            <w:vAlign w:val="center"/>
          </w:tcPr>
          <w:p w14:paraId="4E0BA0A3">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4.25</w:t>
            </w:r>
          </w:p>
        </w:tc>
        <w:tc>
          <w:tcPr>
            <w:tcW w:w="605" w:type="pct"/>
            <w:shd w:val="clear" w:color="auto" w:fill="auto"/>
            <w:tcMar>
              <w:top w:w="15" w:type="dxa"/>
              <w:left w:w="15" w:type="dxa"/>
              <w:bottom w:w="0" w:type="dxa"/>
              <w:right w:w="15" w:type="dxa"/>
            </w:tcMar>
            <w:vAlign w:val="center"/>
          </w:tcPr>
          <w:p w14:paraId="639DEADA">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w:t>
            </w:r>
          </w:p>
        </w:tc>
        <w:tc>
          <w:tcPr>
            <w:tcW w:w="605" w:type="pct"/>
            <w:shd w:val="clear" w:color="auto" w:fill="auto"/>
            <w:tcMar>
              <w:top w:w="15" w:type="dxa"/>
              <w:left w:w="15" w:type="dxa"/>
              <w:bottom w:w="0" w:type="dxa"/>
              <w:right w:w="15" w:type="dxa"/>
            </w:tcMar>
            <w:vAlign w:val="center"/>
          </w:tcPr>
          <w:p w14:paraId="4309AA15">
            <w:pPr>
              <w:widowControl w:val="0"/>
              <w:spacing w:line="360" w:lineRule="exact"/>
              <w:jc w:val="center"/>
              <w:rPr>
                <w:rFonts w:ascii="Times New Roman" w:hAnsi="Times New Roman" w:eastAsia="方正仿宋简体"/>
                <w:color w:val="000000" w:themeColor="text1"/>
                <w:highlight w:val="yellow"/>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4.8</w:t>
            </w:r>
          </w:p>
        </w:tc>
        <w:tc>
          <w:tcPr>
            <w:tcW w:w="682" w:type="pct"/>
            <w:shd w:val="clear" w:color="auto" w:fill="auto"/>
            <w:tcMar>
              <w:top w:w="15" w:type="dxa"/>
              <w:left w:w="15" w:type="dxa"/>
              <w:bottom w:w="0" w:type="dxa"/>
              <w:right w:w="15" w:type="dxa"/>
            </w:tcMar>
            <w:vAlign w:val="center"/>
          </w:tcPr>
          <w:p w14:paraId="23D8654A">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w:t>
            </w:r>
          </w:p>
        </w:tc>
      </w:tr>
      <w:tr w14:paraId="4975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6B08BF4E">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15817DFD">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23</w:t>
            </w:r>
          </w:p>
        </w:tc>
        <w:tc>
          <w:tcPr>
            <w:tcW w:w="1803" w:type="pct"/>
            <w:shd w:val="clear" w:color="auto" w:fill="auto"/>
            <w:tcMar>
              <w:top w:w="15" w:type="dxa"/>
              <w:left w:w="15" w:type="dxa"/>
              <w:bottom w:w="0" w:type="dxa"/>
              <w:right w:w="15" w:type="dxa"/>
            </w:tcMar>
            <w:vAlign w:val="center"/>
          </w:tcPr>
          <w:p w14:paraId="0C30CCCB">
            <w:pPr>
              <w:widowControl w:val="0"/>
              <w:spacing w:line="360" w:lineRule="exact"/>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注册志愿者人数占居民人口比率（%）</w:t>
            </w:r>
          </w:p>
        </w:tc>
        <w:tc>
          <w:tcPr>
            <w:tcW w:w="607" w:type="pct"/>
            <w:shd w:val="clear" w:color="auto" w:fill="auto"/>
            <w:tcMar>
              <w:top w:w="15" w:type="dxa"/>
              <w:left w:w="15" w:type="dxa"/>
              <w:bottom w:w="0" w:type="dxa"/>
              <w:right w:w="15" w:type="dxa"/>
            </w:tcMar>
            <w:vAlign w:val="center"/>
          </w:tcPr>
          <w:p w14:paraId="06B93EEB">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10</w:t>
            </w:r>
          </w:p>
        </w:tc>
        <w:tc>
          <w:tcPr>
            <w:tcW w:w="605" w:type="pct"/>
            <w:shd w:val="clear" w:color="auto" w:fill="auto"/>
            <w:tcMar>
              <w:top w:w="15" w:type="dxa"/>
              <w:left w:w="15" w:type="dxa"/>
              <w:bottom w:w="0" w:type="dxa"/>
              <w:right w:w="15" w:type="dxa"/>
            </w:tcMar>
            <w:vAlign w:val="center"/>
          </w:tcPr>
          <w:p w14:paraId="31B61E39">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w:t>
            </w:r>
          </w:p>
        </w:tc>
        <w:tc>
          <w:tcPr>
            <w:tcW w:w="605" w:type="pct"/>
            <w:shd w:val="clear" w:color="auto" w:fill="auto"/>
            <w:tcMar>
              <w:top w:w="15" w:type="dxa"/>
              <w:left w:w="15" w:type="dxa"/>
              <w:bottom w:w="0" w:type="dxa"/>
              <w:right w:w="15" w:type="dxa"/>
            </w:tcMar>
            <w:vAlign w:val="center"/>
          </w:tcPr>
          <w:p w14:paraId="7AEF8AEE">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17.2</w:t>
            </w:r>
          </w:p>
        </w:tc>
        <w:tc>
          <w:tcPr>
            <w:tcW w:w="682" w:type="pct"/>
            <w:shd w:val="clear" w:color="000000" w:fill="auto"/>
            <w:tcMar>
              <w:top w:w="15" w:type="dxa"/>
              <w:left w:w="15" w:type="dxa"/>
              <w:bottom w:w="0" w:type="dxa"/>
              <w:right w:w="15" w:type="dxa"/>
            </w:tcMar>
            <w:vAlign w:val="center"/>
          </w:tcPr>
          <w:p w14:paraId="2C8A362D">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　</w:t>
            </w:r>
          </w:p>
        </w:tc>
      </w:tr>
      <w:tr w14:paraId="7B91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restart"/>
            <w:shd w:val="clear" w:color="auto" w:fill="auto"/>
            <w:tcMar>
              <w:top w:w="15" w:type="dxa"/>
              <w:left w:w="15" w:type="dxa"/>
              <w:bottom w:w="0" w:type="dxa"/>
              <w:right w:w="15" w:type="dxa"/>
            </w:tcMar>
            <w:vAlign w:val="center"/>
          </w:tcPr>
          <w:p w14:paraId="58C8DA10">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创新</w:t>
            </w:r>
          </w:p>
          <w:p w14:paraId="590C47E0">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驱动</w:t>
            </w:r>
          </w:p>
        </w:tc>
        <w:tc>
          <w:tcPr>
            <w:tcW w:w="316" w:type="pct"/>
            <w:shd w:val="clear" w:color="auto" w:fill="auto"/>
            <w:tcMar>
              <w:top w:w="15" w:type="dxa"/>
              <w:left w:w="15" w:type="dxa"/>
              <w:bottom w:w="0" w:type="dxa"/>
              <w:right w:w="15" w:type="dxa"/>
            </w:tcMar>
            <w:vAlign w:val="center"/>
          </w:tcPr>
          <w:p w14:paraId="375393A2">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24</w:t>
            </w:r>
          </w:p>
        </w:tc>
        <w:tc>
          <w:tcPr>
            <w:tcW w:w="1803" w:type="pct"/>
            <w:shd w:val="clear" w:color="auto" w:fill="auto"/>
            <w:tcMar>
              <w:top w:w="15" w:type="dxa"/>
              <w:left w:w="15" w:type="dxa"/>
              <w:bottom w:w="0" w:type="dxa"/>
              <w:right w:w="15" w:type="dxa"/>
            </w:tcMar>
            <w:vAlign w:val="center"/>
          </w:tcPr>
          <w:p w14:paraId="190B7BE4">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R＆D经费支出占GDP比重（%）</w:t>
            </w:r>
          </w:p>
        </w:tc>
        <w:tc>
          <w:tcPr>
            <w:tcW w:w="607" w:type="pct"/>
            <w:shd w:val="clear" w:color="auto" w:fill="auto"/>
            <w:tcMar>
              <w:top w:w="15" w:type="dxa"/>
              <w:left w:w="15" w:type="dxa"/>
              <w:bottom w:w="0" w:type="dxa"/>
              <w:right w:w="15" w:type="dxa"/>
            </w:tcMar>
            <w:vAlign w:val="center"/>
          </w:tcPr>
          <w:p w14:paraId="7DAD446D">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2.3</w:t>
            </w:r>
          </w:p>
        </w:tc>
        <w:tc>
          <w:tcPr>
            <w:tcW w:w="605" w:type="pct"/>
            <w:shd w:val="clear" w:color="auto" w:fill="auto"/>
            <w:tcMar>
              <w:top w:w="15" w:type="dxa"/>
              <w:left w:w="15" w:type="dxa"/>
              <w:bottom w:w="0" w:type="dxa"/>
              <w:right w:w="15" w:type="dxa"/>
            </w:tcMar>
            <w:vAlign w:val="center"/>
          </w:tcPr>
          <w:p w14:paraId="74ECD6C5">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1.3</w:t>
            </w:r>
          </w:p>
        </w:tc>
        <w:tc>
          <w:tcPr>
            <w:tcW w:w="605" w:type="pct"/>
            <w:shd w:val="clear" w:color="auto" w:fill="auto"/>
            <w:tcMar>
              <w:top w:w="15" w:type="dxa"/>
              <w:left w:w="15" w:type="dxa"/>
              <w:bottom w:w="0" w:type="dxa"/>
              <w:right w:w="15" w:type="dxa"/>
            </w:tcMar>
            <w:vAlign w:val="center"/>
          </w:tcPr>
          <w:p w14:paraId="480B4A0F">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0.82</w:t>
            </w:r>
          </w:p>
        </w:tc>
        <w:tc>
          <w:tcPr>
            <w:tcW w:w="682" w:type="pct"/>
            <w:shd w:val="clear" w:color="auto" w:fill="auto"/>
            <w:tcMar>
              <w:top w:w="15" w:type="dxa"/>
              <w:left w:w="15" w:type="dxa"/>
              <w:bottom w:w="0" w:type="dxa"/>
              <w:right w:w="15" w:type="dxa"/>
            </w:tcMar>
            <w:vAlign w:val="center"/>
          </w:tcPr>
          <w:p w14:paraId="31C40EE4">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未完成</w:t>
            </w:r>
          </w:p>
        </w:tc>
      </w:tr>
      <w:tr w14:paraId="2852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625520EF">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120141F3">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25</w:t>
            </w:r>
          </w:p>
        </w:tc>
        <w:tc>
          <w:tcPr>
            <w:tcW w:w="1803" w:type="pct"/>
            <w:shd w:val="clear" w:color="auto" w:fill="auto"/>
            <w:tcMar>
              <w:top w:w="15" w:type="dxa"/>
              <w:left w:w="15" w:type="dxa"/>
              <w:bottom w:w="0" w:type="dxa"/>
              <w:right w:w="15" w:type="dxa"/>
            </w:tcMar>
            <w:vAlign w:val="center"/>
          </w:tcPr>
          <w:p w14:paraId="66A2A56B">
            <w:pPr>
              <w:widowControl w:val="0"/>
              <w:spacing w:line="360" w:lineRule="exact"/>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每万人口发明专利拥有量（件）</w:t>
            </w:r>
          </w:p>
        </w:tc>
        <w:tc>
          <w:tcPr>
            <w:tcW w:w="607" w:type="pct"/>
            <w:shd w:val="clear" w:color="auto" w:fill="auto"/>
            <w:tcMar>
              <w:top w:w="15" w:type="dxa"/>
              <w:left w:w="15" w:type="dxa"/>
              <w:bottom w:w="0" w:type="dxa"/>
              <w:right w:w="15" w:type="dxa"/>
            </w:tcMar>
            <w:vAlign w:val="center"/>
          </w:tcPr>
          <w:p w14:paraId="3EABAF05">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6.5</w:t>
            </w:r>
          </w:p>
        </w:tc>
        <w:tc>
          <w:tcPr>
            <w:tcW w:w="605" w:type="pct"/>
            <w:shd w:val="clear" w:color="auto" w:fill="auto"/>
            <w:tcMar>
              <w:top w:w="15" w:type="dxa"/>
              <w:left w:w="15" w:type="dxa"/>
              <w:bottom w:w="0" w:type="dxa"/>
              <w:right w:w="15" w:type="dxa"/>
            </w:tcMar>
            <w:vAlign w:val="center"/>
          </w:tcPr>
          <w:p w14:paraId="4EB2054B">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6.49</w:t>
            </w:r>
          </w:p>
        </w:tc>
        <w:tc>
          <w:tcPr>
            <w:tcW w:w="605" w:type="pct"/>
            <w:shd w:val="clear" w:color="auto" w:fill="auto"/>
            <w:tcMar>
              <w:top w:w="15" w:type="dxa"/>
              <w:left w:w="15" w:type="dxa"/>
              <w:bottom w:w="0" w:type="dxa"/>
              <w:right w:w="15" w:type="dxa"/>
            </w:tcMar>
            <w:vAlign w:val="center"/>
          </w:tcPr>
          <w:p w14:paraId="5E081BC3">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12.95</w:t>
            </w:r>
          </w:p>
        </w:tc>
        <w:tc>
          <w:tcPr>
            <w:tcW w:w="682" w:type="pct"/>
            <w:shd w:val="clear" w:color="auto" w:fill="auto"/>
            <w:tcMar>
              <w:top w:w="15" w:type="dxa"/>
              <w:left w:w="15" w:type="dxa"/>
              <w:bottom w:w="0" w:type="dxa"/>
              <w:right w:w="15" w:type="dxa"/>
            </w:tcMar>
            <w:vAlign w:val="center"/>
          </w:tcPr>
          <w:p w14:paraId="78D129AD">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w:t>
            </w:r>
          </w:p>
        </w:tc>
      </w:tr>
      <w:tr w14:paraId="0414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30FD52D2">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156AAE2B">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26</w:t>
            </w:r>
          </w:p>
        </w:tc>
        <w:tc>
          <w:tcPr>
            <w:tcW w:w="1803" w:type="pct"/>
            <w:shd w:val="clear" w:color="auto" w:fill="auto"/>
            <w:tcMar>
              <w:top w:w="15" w:type="dxa"/>
              <w:left w:w="15" w:type="dxa"/>
              <w:bottom w:w="0" w:type="dxa"/>
              <w:right w:w="15" w:type="dxa"/>
            </w:tcMar>
            <w:vAlign w:val="center"/>
          </w:tcPr>
          <w:p w14:paraId="1C997BE3">
            <w:pPr>
              <w:widowControl w:val="0"/>
              <w:spacing w:line="360" w:lineRule="exact"/>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省级以上高新技术企业（家）</w:t>
            </w:r>
          </w:p>
        </w:tc>
        <w:tc>
          <w:tcPr>
            <w:tcW w:w="607" w:type="pct"/>
            <w:shd w:val="clear" w:color="auto" w:fill="auto"/>
            <w:tcMar>
              <w:top w:w="15" w:type="dxa"/>
              <w:left w:w="15" w:type="dxa"/>
              <w:bottom w:w="0" w:type="dxa"/>
              <w:right w:w="15" w:type="dxa"/>
            </w:tcMar>
            <w:vAlign w:val="center"/>
          </w:tcPr>
          <w:p w14:paraId="1B3F67F6">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55</w:t>
            </w:r>
          </w:p>
        </w:tc>
        <w:tc>
          <w:tcPr>
            <w:tcW w:w="605" w:type="pct"/>
            <w:shd w:val="clear" w:color="auto" w:fill="auto"/>
            <w:tcMar>
              <w:top w:w="15" w:type="dxa"/>
              <w:left w:w="15" w:type="dxa"/>
              <w:bottom w:w="0" w:type="dxa"/>
              <w:right w:w="15" w:type="dxa"/>
            </w:tcMar>
            <w:vAlign w:val="center"/>
          </w:tcPr>
          <w:p w14:paraId="0E4A8960">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44</w:t>
            </w:r>
          </w:p>
        </w:tc>
        <w:tc>
          <w:tcPr>
            <w:tcW w:w="605" w:type="pct"/>
            <w:shd w:val="clear" w:color="auto" w:fill="auto"/>
            <w:tcMar>
              <w:top w:w="15" w:type="dxa"/>
              <w:left w:w="15" w:type="dxa"/>
              <w:bottom w:w="0" w:type="dxa"/>
              <w:right w:w="15" w:type="dxa"/>
            </w:tcMar>
            <w:vAlign w:val="center"/>
          </w:tcPr>
          <w:p w14:paraId="29D063A7">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81</w:t>
            </w:r>
          </w:p>
        </w:tc>
        <w:tc>
          <w:tcPr>
            <w:tcW w:w="682" w:type="pct"/>
            <w:shd w:val="clear" w:color="auto" w:fill="auto"/>
            <w:tcMar>
              <w:top w:w="15" w:type="dxa"/>
              <w:left w:w="15" w:type="dxa"/>
              <w:bottom w:w="0" w:type="dxa"/>
              <w:right w:w="15" w:type="dxa"/>
            </w:tcMar>
            <w:vAlign w:val="center"/>
          </w:tcPr>
          <w:p w14:paraId="052F68B4">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w:t>
            </w:r>
          </w:p>
        </w:tc>
      </w:tr>
      <w:tr w14:paraId="25E6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restart"/>
            <w:shd w:val="clear" w:color="auto" w:fill="auto"/>
            <w:tcMar>
              <w:top w:w="15" w:type="dxa"/>
              <w:left w:w="15" w:type="dxa"/>
              <w:bottom w:w="0" w:type="dxa"/>
              <w:right w:w="15" w:type="dxa"/>
            </w:tcMar>
            <w:vAlign w:val="center"/>
          </w:tcPr>
          <w:p w14:paraId="02E9FB64">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生态</w:t>
            </w:r>
          </w:p>
          <w:p w14:paraId="6C21C437">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文明</w:t>
            </w:r>
          </w:p>
        </w:tc>
        <w:tc>
          <w:tcPr>
            <w:tcW w:w="316" w:type="pct"/>
            <w:shd w:val="clear" w:color="auto" w:fill="auto"/>
            <w:tcMar>
              <w:top w:w="15" w:type="dxa"/>
              <w:left w:w="15" w:type="dxa"/>
              <w:bottom w:w="0" w:type="dxa"/>
              <w:right w:w="15" w:type="dxa"/>
            </w:tcMar>
            <w:vAlign w:val="center"/>
          </w:tcPr>
          <w:p w14:paraId="42F00F1B">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27</w:t>
            </w:r>
          </w:p>
        </w:tc>
        <w:tc>
          <w:tcPr>
            <w:tcW w:w="1803" w:type="pct"/>
            <w:shd w:val="clear" w:color="auto" w:fill="auto"/>
            <w:tcMar>
              <w:top w:w="15" w:type="dxa"/>
              <w:left w:w="15" w:type="dxa"/>
              <w:bottom w:w="0" w:type="dxa"/>
              <w:right w:w="15" w:type="dxa"/>
            </w:tcMar>
            <w:vAlign w:val="center"/>
          </w:tcPr>
          <w:p w14:paraId="041FB059">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规上工业单位增加值能耗上升或下降（%）</w:t>
            </w:r>
          </w:p>
        </w:tc>
        <w:tc>
          <w:tcPr>
            <w:tcW w:w="607" w:type="pct"/>
            <w:shd w:val="clear" w:color="auto" w:fill="auto"/>
            <w:tcMar>
              <w:top w:w="15" w:type="dxa"/>
              <w:left w:w="15" w:type="dxa"/>
              <w:bottom w:w="0" w:type="dxa"/>
              <w:right w:w="15" w:type="dxa"/>
            </w:tcMar>
            <w:vAlign w:val="center"/>
          </w:tcPr>
          <w:p w14:paraId="5B4617F6">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完成市下达目标</w:t>
            </w:r>
          </w:p>
        </w:tc>
        <w:tc>
          <w:tcPr>
            <w:tcW w:w="605" w:type="pct"/>
            <w:shd w:val="clear" w:color="auto" w:fill="auto"/>
            <w:tcMar>
              <w:top w:w="15" w:type="dxa"/>
              <w:left w:w="15" w:type="dxa"/>
              <w:bottom w:w="0" w:type="dxa"/>
              <w:right w:w="15" w:type="dxa"/>
            </w:tcMar>
            <w:vAlign w:val="center"/>
          </w:tcPr>
          <w:p w14:paraId="6FBF87DB">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完成市下达目标</w:t>
            </w:r>
          </w:p>
        </w:tc>
        <w:tc>
          <w:tcPr>
            <w:tcW w:w="605" w:type="pct"/>
            <w:shd w:val="clear" w:color="auto" w:fill="auto"/>
            <w:tcMar>
              <w:top w:w="15" w:type="dxa"/>
              <w:left w:w="15" w:type="dxa"/>
              <w:bottom w:w="0" w:type="dxa"/>
              <w:right w:w="15" w:type="dxa"/>
            </w:tcMar>
            <w:vAlign w:val="center"/>
          </w:tcPr>
          <w:p w14:paraId="531F9A91">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w:t>
            </w:r>
            <w:r>
              <w:rPr>
                <w:rFonts w:hint="eastAsia" w:ascii="Times New Roman" w:hAnsi="Times New Roman" w:eastAsia="方正仿宋简体"/>
                <w:color w:val="000000" w:themeColor="text1"/>
                <w14:textFill>
                  <w14:solidFill>
                    <w14:schemeClr w14:val="tx1"/>
                  </w14:solidFill>
                </w14:textFill>
              </w:rPr>
              <w:t>6.84</w:t>
            </w:r>
          </w:p>
        </w:tc>
        <w:tc>
          <w:tcPr>
            <w:tcW w:w="682" w:type="pct"/>
            <w:shd w:val="clear" w:color="auto" w:fill="auto"/>
            <w:tcMar>
              <w:top w:w="15" w:type="dxa"/>
              <w:left w:w="15" w:type="dxa"/>
              <w:bottom w:w="0" w:type="dxa"/>
              <w:right w:w="15" w:type="dxa"/>
            </w:tcMar>
            <w:vAlign w:val="center"/>
          </w:tcPr>
          <w:p w14:paraId="438C514C">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w:t>
            </w:r>
          </w:p>
        </w:tc>
      </w:tr>
      <w:tr w14:paraId="65F5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7AAD2522">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274E1CAF">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28</w:t>
            </w:r>
          </w:p>
        </w:tc>
        <w:tc>
          <w:tcPr>
            <w:tcW w:w="1803" w:type="pct"/>
            <w:shd w:val="clear" w:color="auto" w:fill="auto"/>
            <w:tcMar>
              <w:top w:w="15" w:type="dxa"/>
              <w:left w:w="15" w:type="dxa"/>
              <w:bottom w:w="0" w:type="dxa"/>
              <w:right w:w="15" w:type="dxa"/>
            </w:tcMar>
            <w:vAlign w:val="center"/>
          </w:tcPr>
          <w:p w14:paraId="29D73DA1">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化学需氧量排放量降低（吨）</w:t>
            </w:r>
          </w:p>
        </w:tc>
        <w:tc>
          <w:tcPr>
            <w:tcW w:w="607" w:type="pct"/>
            <w:shd w:val="clear" w:color="auto" w:fill="auto"/>
            <w:tcMar>
              <w:top w:w="15" w:type="dxa"/>
              <w:left w:w="15" w:type="dxa"/>
              <w:bottom w:w="0" w:type="dxa"/>
              <w:right w:w="15" w:type="dxa"/>
            </w:tcMar>
            <w:vAlign w:val="center"/>
          </w:tcPr>
          <w:p w14:paraId="3133E6C1">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201</w:t>
            </w:r>
          </w:p>
        </w:tc>
        <w:tc>
          <w:tcPr>
            <w:tcW w:w="605" w:type="pct"/>
            <w:shd w:val="clear" w:color="auto" w:fill="auto"/>
            <w:tcMar>
              <w:top w:w="15" w:type="dxa"/>
              <w:left w:w="15" w:type="dxa"/>
              <w:bottom w:w="0" w:type="dxa"/>
              <w:right w:w="15" w:type="dxa"/>
            </w:tcMar>
            <w:vAlign w:val="center"/>
          </w:tcPr>
          <w:p w14:paraId="0D202EE3">
            <w:pPr>
              <w:widowControl w:val="0"/>
              <w:spacing w:line="360" w:lineRule="exact"/>
              <w:jc w:val="center"/>
              <w:rPr>
                <w:rFonts w:ascii="Times New Roman" w:hAnsi="Times New Roman" w:eastAsia="方正仿宋简体"/>
              </w:rPr>
            </w:pPr>
            <w:r>
              <w:rPr>
                <w:rFonts w:ascii="Times New Roman" w:hAnsi="Times New Roman" w:eastAsia="方正仿宋简体"/>
              </w:rPr>
              <w:t>--</w:t>
            </w:r>
          </w:p>
        </w:tc>
        <w:tc>
          <w:tcPr>
            <w:tcW w:w="605" w:type="pct"/>
            <w:shd w:val="clear" w:color="auto" w:fill="auto"/>
            <w:tcMar>
              <w:top w:w="15" w:type="dxa"/>
              <w:left w:w="15" w:type="dxa"/>
              <w:bottom w:w="0" w:type="dxa"/>
              <w:right w:w="15" w:type="dxa"/>
            </w:tcMar>
            <w:vAlign w:val="center"/>
          </w:tcPr>
          <w:p w14:paraId="5B9594EA">
            <w:pPr>
              <w:widowControl w:val="0"/>
              <w:spacing w:line="360" w:lineRule="exact"/>
              <w:jc w:val="center"/>
              <w:rPr>
                <w:rFonts w:ascii="Times New Roman" w:hAnsi="Times New Roman" w:eastAsia="方正仿宋简体"/>
              </w:rPr>
            </w:pPr>
            <w:r>
              <w:rPr>
                <w:rFonts w:ascii="Times New Roman" w:hAnsi="Times New Roman" w:eastAsia="方正仿宋简体"/>
              </w:rPr>
              <w:t>759.9</w:t>
            </w:r>
          </w:p>
        </w:tc>
        <w:tc>
          <w:tcPr>
            <w:tcW w:w="682" w:type="pct"/>
            <w:vMerge w:val="restart"/>
            <w:shd w:val="clear" w:color="auto" w:fill="auto"/>
            <w:tcMar>
              <w:top w:w="15" w:type="dxa"/>
              <w:left w:w="15" w:type="dxa"/>
              <w:bottom w:w="0" w:type="dxa"/>
              <w:right w:w="15" w:type="dxa"/>
            </w:tcMar>
            <w:vAlign w:val="center"/>
          </w:tcPr>
          <w:p w14:paraId="0CAE23CF">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2020年实际为五年累计数，已完成</w:t>
            </w:r>
          </w:p>
        </w:tc>
      </w:tr>
      <w:tr w14:paraId="5E4F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61DE393B">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40093408">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29</w:t>
            </w:r>
          </w:p>
        </w:tc>
        <w:tc>
          <w:tcPr>
            <w:tcW w:w="1803" w:type="pct"/>
            <w:shd w:val="clear" w:color="auto" w:fill="auto"/>
            <w:tcMar>
              <w:top w:w="15" w:type="dxa"/>
              <w:left w:w="15" w:type="dxa"/>
              <w:bottom w:w="0" w:type="dxa"/>
              <w:right w:w="15" w:type="dxa"/>
            </w:tcMar>
            <w:vAlign w:val="center"/>
          </w:tcPr>
          <w:p w14:paraId="01B564C0">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氨氮排放量降低（吨）</w:t>
            </w:r>
          </w:p>
        </w:tc>
        <w:tc>
          <w:tcPr>
            <w:tcW w:w="607" w:type="pct"/>
            <w:shd w:val="clear" w:color="auto" w:fill="auto"/>
            <w:tcMar>
              <w:top w:w="15" w:type="dxa"/>
              <w:left w:w="15" w:type="dxa"/>
              <w:bottom w:w="0" w:type="dxa"/>
              <w:right w:w="15" w:type="dxa"/>
            </w:tcMar>
            <w:vAlign w:val="center"/>
          </w:tcPr>
          <w:p w14:paraId="7ADF4078">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60.1</w:t>
            </w:r>
          </w:p>
        </w:tc>
        <w:tc>
          <w:tcPr>
            <w:tcW w:w="605" w:type="pct"/>
            <w:shd w:val="clear" w:color="auto" w:fill="auto"/>
            <w:tcMar>
              <w:top w:w="15" w:type="dxa"/>
              <w:left w:w="15" w:type="dxa"/>
              <w:bottom w:w="0" w:type="dxa"/>
              <w:right w:w="15" w:type="dxa"/>
            </w:tcMar>
            <w:vAlign w:val="center"/>
          </w:tcPr>
          <w:p w14:paraId="39EC7DA7">
            <w:pPr>
              <w:widowControl w:val="0"/>
              <w:spacing w:line="360" w:lineRule="exact"/>
              <w:jc w:val="center"/>
              <w:rPr>
                <w:rFonts w:ascii="Times New Roman" w:hAnsi="Times New Roman" w:eastAsia="方正仿宋简体"/>
              </w:rPr>
            </w:pPr>
            <w:r>
              <w:rPr>
                <w:rFonts w:ascii="Times New Roman" w:hAnsi="Times New Roman" w:eastAsia="方正仿宋简体"/>
              </w:rPr>
              <w:t>--</w:t>
            </w:r>
          </w:p>
        </w:tc>
        <w:tc>
          <w:tcPr>
            <w:tcW w:w="605" w:type="pct"/>
            <w:shd w:val="clear" w:color="auto" w:fill="auto"/>
            <w:tcMar>
              <w:top w:w="15" w:type="dxa"/>
              <w:left w:w="15" w:type="dxa"/>
              <w:bottom w:w="0" w:type="dxa"/>
              <w:right w:w="15" w:type="dxa"/>
            </w:tcMar>
            <w:vAlign w:val="center"/>
          </w:tcPr>
          <w:p w14:paraId="6A4A448D">
            <w:pPr>
              <w:widowControl w:val="0"/>
              <w:spacing w:line="360" w:lineRule="exact"/>
              <w:jc w:val="center"/>
              <w:rPr>
                <w:rFonts w:ascii="Times New Roman" w:hAnsi="Times New Roman" w:eastAsia="方正仿宋简体"/>
              </w:rPr>
            </w:pPr>
            <w:r>
              <w:rPr>
                <w:rFonts w:ascii="Times New Roman" w:hAnsi="Times New Roman" w:eastAsia="方正仿宋简体"/>
              </w:rPr>
              <w:t>245.3</w:t>
            </w:r>
          </w:p>
        </w:tc>
        <w:tc>
          <w:tcPr>
            <w:tcW w:w="682" w:type="pct"/>
            <w:vMerge w:val="continue"/>
            <w:shd w:val="clear" w:color="auto" w:fill="auto"/>
            <w:tcMar>
              <w:top w:w="15" w:type="dxa"/>
              <w:left w:w="15" w:type="dxa"/>
              <w:bottom w:w="0" w:type="dxa"/>
              <w:right w:w="15" w:type="dxa"/>
            </w:tcMar>
            <w:vAlign w:val="center"/>
          </w:tcPr>
          <w:p w14:paraId="6748E865">
            <w:pPr>
              <w:widowControl w:val="0"/>
              <w:spacing w:line="360" w:lineRule="exact"/>
              <w:jc w:val="center"/>
              <w:rPr>
                <w:rFonts w:ascii="Times New Roman" w:hAnsi="Times New Roman" w:eastAsia="方正仿宋简体"/>
                <w:color w:val="FF0000"/>
              </w:rPr>
            </w:pPr>
          </w:p>
        </w:tc>
      </w:tr>
      <w:tr w14:paraId="4100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2D21816A">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72D36F4D">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30</w:t>
            </w:r>
          </w:p>
        </w:tc>
        <w:tc>
          <w:tcPr>
            <w:tcW w:w="1803" w:type="pct"/>
            <w:shd w:val="clear" w:color="auto" w:fill="auto"/>
            <w:tcMar>
              <w:top w:w="15" w:type="dxa"/>
              <w:left w:w="15" w:type="dxa"/>
              <w:bottom w:w="0" w:type="dxa"/>
              <w:right w:w="15" w:type="dxa"/>
            </w:tcMar>
            <w:vAlign w:val="center"/>
          </w:tcPr>
          <w:p w14:paraId="1865D9F1">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二氧化硫排放量降低（吨）</w:t>
            </w:r>
          </w:p>
        </w:tc>
        <w:tc>
          <w:tcPr>
            <w:tcW w:w="607" w:type="pct"/>
            <w:shd w:val="clear" w:color="auto" w:fill="auto"/>
            <w:tcMar>
              <w:top w:w="15" w:type="dxa"/>
              <w:left w:w="15" w:type="dxa"/>
              <w:bottom w:w="0" w:type="dxa"/>
              <w:right w:w="15" w:type="dxa"/>
            </w:tcMar>
            <w:vAlign w:val="center"/>
          </w:tcPr>
          <w:p w14:paraId="3F519B80">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4</w:t>
            </w:r>
          </w:p>
        </w:tc>
        <w:tc>
          <w:tcPr>
            <w:tcW w:w="605" w:type="pct"/>
            <w:shd w:val="clear" w:color="auto" w:fill="auto"/>
            <w:tcMar>
              <w:top w:w="15" w:type="dxa"/>
              <w:left w:w="15" w:type="dxa"/>
              <w:bottom w:w="0" w:type="dxa"/>
              <w:right w:w="15" w:type="dxa"/>
            </w:tcMar>
            <w:vAlign w:val="center"/>
          </w:tcPr>
          <w:p w14:paraId="655A2627">
            <w:pPr>
              <w:widowControl w:val="0"/>
              <w:spacing w:line="360" w:lineRule="exact"/>
              <w:jc w:val="center"/>
              <w:rPr>
                <w:rFonts w:ascii="Times New Roman" w:hAnsi="Times New Roman" w:eastAsia="方正仿宋简体"/>
              </w:rPr>
            </w:pPr>
            <w:r>
              <w:rPr>
                <w:rFonts w:ascii="Times New Roman" w:hAnsi="Times New Roman" w:eastAsia="方正仿宋简体"/>
              </w:rPr>
              <w:t>--</w:t>
            </w:r>
          </w:p>
        </w:tc>
        <w:tc>
          <w:tcPr>
            <w:tcW w:w="605" w:type="pct"/>
            <w:shd w:val="clear" w:color="auto" w:fill="auto"/>
            <w:tcMar>
              <w:top w:w="15" w:type="dxa"/>
              <w:left w:w="15" w:type="dxa"/>
              <w:bottom w:w="0" w:type="dxa"/>
              <w:right w:w="15" w:type="dxa"/>
            </w:tcMar>
            <w:vAlign w:val="center"/>
          </w:tcPr>
          <w:p w14:paraId="04F8765C">
            <w:pPr>
              <w:widowControl w:val="0"/>
              <w:spacing w:line="360" w:lineRule="exact"/>
              <w:jc w:val="center"/>
              <w:rPr>
                <w:rFonts w:ascii="Times New Roman" w:hAnsi="Times New Roman" w:eastAsia="方正仿宋简体"/>
              </w:rPr>
            </w:pPr>
            <w:r>
              <w:rPr>
                <w:rFonts w:ascii="Times New Roman" w:hAnsi="Times New Roman" w:eastAsia="方正仿宋简体"/>
              </w:rPr>
              <w:t>9.1</w:t>
            </w:r>
          </w:p>
        </w:tc>
        <w:tc>
          <w:tcPr>
            <w:tcW w:w="682" w:type="pct"/>
            <w:vMerge w:val="continue"/>
            <w:shd w:val="clear" w:color="auto" w:fill="auto"/>
            <w:tcMar>
              <w:top w:w="15" w:type="dxa"/>
              <w:left w:w="15" w:type="dxa"/>
              <w:bottom w:w="0" w:type="dxa"/>
              <w:right w:w="15" w:type="dxa"/>
            </w:tcMar>
            <w:vAlign w:val="center"/>
          </w:tcPr>
          <w:p w14:paraId="517C11DC">
            <w:pPr>
              <w:widowControl w:val="0"/>
              <w:spacing w:line="360" w:lineRule="exact"/>
              <w:jc w:val="center"/>
              <w:rPr>
                <w:rFonts w:ascii="Times New Roman" w:hAnsi="Times New Roman" w:eastAsia="方正仿宋简体"/>
                <w:color w:val="FF0000"/>
              </w:rPr>
            </w:pPr>
          </w:p>
        </w:tc>
      </w:tr>
      <w:tr w14:paraId="16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47A52824">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5246E199">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31</w:t>
            </w:r>
          </w:p>
        </w:tc>
        <w:tc>
          <w:tcPr>
            <w:tcW w:w="1803" w:type="pct"/>
            <w:shd w:val="clear" w:color="auto" w:fill="auto"/>
            <w:tcMar>
              <w:top w:w="15" w:type="dxa"/>
              <w:left w:w="15" w:type="dxa"/>
              <w:bottom w:w="0" w:type="dxa"/>
              <w:right w:w="15" w:type="dxa"/>
            </w:tcMar>
            <w:vAlign w:val="center"/>
          </w:tcPr>
          <w:p w14:paraId="6A66D85F">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氮氧化物排放量降低（吨）</w:t>
            </w:r>
          </w:p>
        </w:tc>
        <w:tc>
          <w:tcPr>
            <w:tcW w:w="607" w:type="pct"/>
            <w:shd w:val="clear" w:color="auto" w:fill="auto"/>
            <w:tcMar>
              <w:top w:w="15" w:type="dxa"/>
              <w:left w:w="15" w:type="dxa"/>
              <w:bottom w:w="0" w:type="dxa"/>
              <w:right w:w="15" w:type="dxa"/>
            </w:tcMar>
            <w:vAlign w:val="center"/>
          </w:tcPr>
          <w:p w14:paraId="5F6B77AC">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0.5</w:t>
            </w:r>
          </w:p>
        </w:tc>
        <w:tc>
          <w:tcPr>
            <w:tcW w:w="605" w:type="pct"/>
            <w:shd w:val="clear" w:color="auto" w:fill="auto"/>
            <w:tcMar>
              <w:top w:w="15" w:type="dxa"/>
              <w:left w:w="15" w:type="dxa"/>
              <w:bottom w:w="0" w:type="dxa"/>
              <w:right w:w="15" w:type="dxa"/>
            </w:tcMar>
            <w:vAlign w:val="center"/>
          </w:tcPr>
          <w:p w14:paraId="0F4C0AD6">
            <w:pPr>
              <w:widowControl w:val="0"/>
              <w:spacing w:line="360" w:lineRule="exact"/>
              <w:jc w:val="center"/>
              <w:rPr>
                <w:rFonts w:ascii="Times New Roman" w:hAnsi="Times New Roman" w:eastAsia="方正仿宋简体"/>
              </w:rPr>
            </w:pPr>
            <w:r>
              <w:rPr>
                <w:rFonts w:ascii="Times New Roman" w:hAnsi="Times New Roman" w:eastAsia="方正仿宋简体"/>
              </w:rPr>
              <w:t>--</w:t>
            </w:r>
          </w:p>
        </w:tc>
        <w:tc>
          <w:tcPr>
            <w:tcW w:w="605" w:type="pct"/>
            <w:shd w:val="clear" w:color="auto" w:fill="auto"/>
            <w:tcMar>
              <w:top w:w="15" w:type="dxa"/>
              <w:left w:w="15" w:type="dxa"/>
              <w:bottom w:w="0" w:type="dxa"/>
              <w:right w:w="15" w:type="dxa"/>
            </w:tcMar>
            <w:vAlign w:val="center"/>
          </w:tcPr>
          <w:p w14:paraId="3187BE3D">
            <w:pPr>
              <w:widowControl w:val="0"/>
              <w:spacing w:line="360" w:lineRule="exact"/>
              <w:jc w:val="center"/>
              <w:rPr>
                <w:rFonts w:ascii="Times New Roman" w:hAnsi="Times New Roman" w:eastAsia="方正仿宋简体"/>
              </w:rPr>
            </w:pPr>
            <w:r>
              <w:rPr>
                <w:rFonts w:ascii="Times New Roman" w:hAnsi="Times New Roman" w:eastAsia="方正仿宋简体"/>
              </w:rPr>
              <w:t>2.5</w:t>
            </w:r>
          </w:p>
        </w:tc>
        <w:tc>
          <w:tcPr>
            <w:tcW w:w="682" w:type="pct"/>
            <w:vMerge w:val="continue"/>
            <w:shd w:val="clear" w:color="auto" w:fill="auto"/>
            <w:tcMar>
              <w:top w:w="15" w:type="dxa"/>
              <w:left w:w="15" w:type="dxa"/>
              <w:bottom w:w="0" w:type="dxa"/>
              <w:right w:w="15" w:type="dxa"/>
            </w:tcMar>
            <w:vAlign w:val="center"/>
          </w:tcPr>
          <w:p w14:paraId="2403C3C5">
            <w:pPr>
              <w:widowControl w:val="0"/>
              <w:spacing w:line="360" w:lineRule="exact"/>
              <w:jc w:val="center"/>
              <w:rPr>
                <w:rFonts w:ascii="Times New Roman" w:hAnsi="Times New Roman" w:eastAsia="方正仿宋简体"/>
                <w:color w:val="FF0000"/>
              </w:rPr>
            </w:pPr>
          </w:p>
        </w:tc>
      </w:tr>
      <w:tr w14:paraId="75AD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25F5C93E">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64B79ED2">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32</w:t>
            </w:r>
          </w:p>
        </w:tc>
        <w:tc>
          <w:tcPr>
            <w:tcW w:w="1803" w:type="pct"/>
            <w:shd w:val="clear" w:color="auto" w:fill="auto"/>
            <w:tcMar>
              <w:top w:w="15" w:type="dxa"/>
              <w:left w:w="15" w:type="dxa"/>
              <w:bottom w:w="0" w:type="dxa"/>
              <w:right w:w="15" w:type="dxa"/>
            </w:tcMar>
            <w:vAlign w:val="center"/>
          </w:tcPr>
          <w:p w14:paraId="0E1C5E3B">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空气环境质量好于二级标准的天数比例（%）</w:t>
            </w:r>
          </w:p>
        </w:tc>
        <w:tc>
          <w:tcPr>
            <w:tcW w:w="607" w:type="pct"/>
            <w:shd w:val="clear" w:color="auto" w:fill="auto"/>
            <w:tcMar>
              <w:top w:w="15" w:type="dxa"/>
              <w:left w:w="15" w:type="dxa"/>
              <w:bottom w:w="0" w:type="dxa"/>
              <w:right w:w="15" w:type="dxa"/>
            </w:tcMar>
            <w:vAlign w:val="center"/>
          </w:tcPr>
          <w:p w14:paraId="2DF8F5B0">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完成市下达指标</w:t>
            </w:r>
          </w:p>
        </w:tc>
        <w:tc>
          <w:tcPr>
            <w:tcW w:w="605" w:type="pct"/>
            <w:shd w:val="clear" w:color="auto" w:fill="auto"/>
            <w:tcMar>
              <w:top w:w="15" w:type="dxa"/>
              <w:left w:w="15" w:type="dxa"/>
              <w:bottom w:w="0" w:type="dxa"/>
              <w:right w:w="15" w:type="dxa"/>
            </w:tcMar>
            <w:vAlign w:val="center"/>
          </w:tcPr>
          <w:p w14:paraId="0E83F974">
            <w:pPr>
              <w:widowControl w:val="0"/>
              <w:spacing w:line="360" w:lineRule="exact"/>
              <w:jc w:val="center"/>
              <w:rPr>
                <w:rFonts w:ascii="Times New Roman" w:hAnsi="Times New Roman" w:eastAsia="方正仿宋简体"/>
              </w:rPr>
            </w:pPr>
            <w:r>
              <w:rPr>
                <w:rFonts w:ascii="Times New Roman" w:hAnsi="Times New Roman" w:eastAsia="方正仿宋简体"/>
              </w:rPr>
              <w:t>95</w:t>
            </w:r>
          </w:p>
        </w:tc>
        <w:tc>
          <w:tcPr>
            <w:tcW w:w="605" w:type="pct"/>
            <w:shd w:val="clear" w:color="auto" w:fill="auto"/>
            <w:tcMar>
              <w:top w:w="15" w:type="dxa"/>
              <w:left w:w="15" w:type="dxa"/>
              <w:bottom w:w="0" w:type="dxa"/>
              <w:right w:w="15" w:type="dxa"/>
            </w:tcMar>
            <w:vAlign w:val="center"/>
          </w:tcPr>
          <w:p w14:paraId="0D0870BE">
            <w:pPr>
              <w:widowControl w:val="0"/>
              <w:spacing w:line="360" w:lineRule="exact"/>
              <w:jc w:val="center"/>
              <w:rPr>
                <w:rFonts w:ascii="Times New Roman" w:hAnsi="Times New Roman" w:eastAsia="方正仿宋简体"/>
              </w:rPr>
            </w:pPr>
            <w:r>
              <w:rPr>
                <w:rFonts w:ascii="Times New Roman" w:hAnsi="Times New Roman" w:eastAsia="方正仿宋简体"/>
              </w:rPr>
              <w:t>97</w:t>
            </w:r>
          </w:p>
        </w:tc>
        <w:tc>
          <w:tcPr>
            <w:tcW w:w="682" w:type="pct"/>
            <w:shd w:val="clear" w:color="auto" w:fill="auto"/>
            <w:tcMar>
              <w:top w:w="15" w:type="dxa"/>
              <w:left w:w="15" w:type="dxa"/>
              <w:bottom w:w="0" w:type="dxa"/>
              <w:right w:w="15" w:type="dxa"/>
            </w:tcMar>
            <w:vAlign w:val="center"/>
          </w:tcPr>
          <w:p w14:paraId="4E9453AE">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w:t>
            </w:r>
          </w:p>
        </w:tc>
      </w:tr>
      <w:tr w14:paraId="55EB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3DF576DE">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67306231">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33</w:t>
            </w:r>
          </w:p>
        </w:tc>
        <w:tc>
          <w:tcPr>
            <w:tcW w:w="1803" w:type="pct"/>
            <w:shd w:val="clear" w:color="auto" w:fill="auto"/>
            <w:tcMar>
              <w:top w:w="15" w:type="dxa"/>
              <w:left w:w="15" w:type="dxa"/>
              <w:bottom w:w="0" w:type="dxa"/>
              <w:right w:w="15" w:type="dxa"/>
            </w:tcMar>
            <w:vAlign w:val="center"/>
          </w:tcPr>
          <w:p w14:paraId="70AA6815">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PM2.5年均浓度（mg/m）</w:t>
            </w:r>
          </w:p>
        </w:tc>
        <w:tc>
          <w:tcPr>
            <w:tcW w:w="607" w:type="pct"/>
            <w:shd w:val="clear" w:color="auto" w:fill="auto"/>
            <w:tcMar>
              <w:top w:w="15" w:type="dxa"/>
              <w:left w:w="15" w:type="dxa"/>
              <w:bottom w:w="0" w:type="dxa"/>
              <w:right w:w="15" w:type="dxa"/>
            </w:tcMar>
            <w:vAlign w:val="center"/>
          </w:tcPr>
          <w:p w14:paraId="23037BD6">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0.035</w:t>
            </w:r>
          </w:p>
        </w:tc>
        <w:tc>
          <w:tcPr>
            <w:tcW w:w="605" w:type="pct"/>
            <w:shd w:val="clear" w:color="auto" w:fill="auto"/>
            <w:tcMar>
              <w:top w:w="15" w:type="dxa"/>
              <w:left w:w="15" w:type="dxa"/>
              <w:bottom w:w="0" w:type="dxa"/>
              <w:right w:w="15" w:type="dxa"/>
            </w:tcMar>
            <w:vAlign w:val="center"/>
          </w:tcPr>
          <w:p w14:paraId="54AB2CD9">
            <w:pPr>
              <w:widowControl w:val="0"/>
              <w:spacing w:line="360" w:lineRule="exact"/>
              <w:jc w:val="center"/>
              <w:rPr>
                <w:rFonts w:ascii="Times New Roman" w:hAnsi="Times New Roman" w:eastAsia="方正仿宋简体"/>
              </w:rPr>
            </w:pPr>
            <w:r>
              <w:rPr>
                <w:rFonts w:ascii="Times New Roman" w:hAnsi="Times New Roman" w:eastAsia="方正仿宋简体"/>
              </w:rPr>
              <w:t>0.035</w:t>
            </w:r>
          </w:p>
        </w:tc>
        <w:tc>
          <w:tcPr>
            <w:tcW w:w="605" w:type="pct"/>
            <w:shd w:val="clear" w:color="auto" w:fill="auto"/>
            <w:tcMar>
              <w:top w:w="15" w:type="dxa"/>
              <w:left w:w="15" w:type="dxa"/>
              <w:bottom w:w="0" w:type="dxa"/>
              <w:right w:w="15" w:type="dxa"/>
            </w:tcMar>
            <w:vAlign w:val="center"/>
          </w:tcPr>
          <w:p w14:paraId="191F05B7">
            <w:pPr>
              <w:widowControl w:val="0"/>
              <w:spacing w:line="360" w:lineRule="exact"/>
              <w:jc w:val="center"/>
              <w:rPr>
                <w:rFonts w:ascii="Times New Roman" w:hAnsi="Times New Roman" w:eastAsia="方正仿宋简体"/>
              </w:rPr>
            </w:pPr>
            <w:r>
              <w:rPr>
                <w:rFonts w:ascii="Times New Roman" w:hAnsi="Times New Roman" w:eastAsia="方正仿宋简体"/>
              </w:rPr>
              <w:t>0.021</w:t>
            </w:r>
          </w:p>
        </w:tc>
        <w:tc>
          <w:tcPr>
            <w:tcW w:w="682" w:type="pct"/>
            <w:shd w:val="clear" w:color="auto" w:fill="auto"/>
            <w:tcMar>
              <w:top w:w="15" w:type="dxa"/>
              <w:left w:w="15" w:type="dxa"/>
              <w:bottom w:w="0" w:type="dxa"/>
              <w:right w:w="15" w:type="dxa"/>
            </w:tcMar>
            <w:vAlign w:val="center"/>
          </w:tcPr>
          <w:p w14:paraId="17A5FDBD">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w:t>
            </w:r>
          </w:p>
        </w:tc>
      </w:tr>
      <w:tr w14:paraId="002A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768881B6">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3E3B2282">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34</w:t>
            </w:r>
          </w:p>
        </w:tc>
        <w:tc>
          <w:tcPr>
            <w:tcW w:w="1803" w:type="pct"/>
            <w:shd w:val="clear" w:color="auto" w:fill="auto"/>
            <w:tcMar>
              <w:top w:w="15" w:type="dxa"/>
              <w:left w:w="15" w:type="dxa"/>
              <w:bottom w:w="0" w:type="dxa"/>
              <w:right w:w="15" w:type="dxa"/>
            </w:tcMar>
            <w:vAlign w:val="center"/>
          </w:tcPr>
          <w:p w14:paraId="0C0F98DE">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省控断面地表水水质达标率（%）</w:t>
            </w:r>
          </w:p>
        </w:tc>
        <w:tc>
          <w:tcPr>
            <w:tcW w:w="607" w:type="pct"/>
            <w:shd w:val="clear" w:color="auto" w:fill="auto"/>
            <w:tcMar>
              <w:top w:w="15" w:type="dxa"/>
              <w:left w:w="15" w:type="dxa"/>
              <w:bottom w:w="0" w:type="dxa"/>
              <w:right w:w="15" w:type="dxa"/>
            </w:tcMar>
            <w:vAlign w:val="center"/>
          </w:tcPr>
          <w:p w14:paraId="1A8728E8">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100</w:t>
            </w:r>
          </w:p>
        </w:tc>
        <w:tc>
          <w:tcPr>
            <w:tcW w:w="605" w:type="pct"/>
            <w:shd w:val="clear" w:color="auto" w:fill="auto"/>
            <w:tcMar>
              <w:top w:w="15" w:type="dxa"/>
              <w:left w:w="15" w:type="dxa"/>
              <w:bottom w:w="0" w:type="dxa"/>
              <w:right w:w="15" w:type="dxa"/>
            </w:tcMar>
            <w:vAlign w:val="center"/>
          </w:tcPr>
          <w:p w14:paraId="5213CD1F">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100</w:t>
            </w:r>
          </w:p>
        </w:tc>
        <w:tc>
          <w:tcPr>
            <w:tcW w:w="605" w:type="pct"/>
            <w:shd w:val="clear" w:color="auto" w:fill="auto"/>
            <w:tcMar>
              <w:top w:w="15" w:type="dxa"/>
              <w:left w:w="15" w:type="dxa"/>
              <w:bottom w:w="0" w:type="dxa"/>
              <w:right w:w="15" w:type="dxa"/>
            </w:tcMar>
            <w:vAlign w:val="center"/>
          </w:tcPr>
          <w:p w14:paraId="5D1881D2">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100</w:t>
            </w:r>
          </w:p>
        </w:tc>
        <w:tc>
          <w:tcPr>
            <w:tcW w:w="682" w:type="pct"/>
            <w:shd w:val="clear" w:color="auto" w:fill="auto"/>
            <w:tcMar>
              <w:top w:w="15" w:type="dxa"/>
              <w:left w:w="15" w:type="dxa"/>
              <w:bottom w:w="0" w:type="dxa"/>
              <w:right w:w="15" w:type="dxa"/>
            </w:tcMar>
            <w:vAlign w:val="center"/>
          </w:tcPr>
          <w:p w14:paraId="6723751F">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w:t>
            </w:r>
          </w:p>
        </w:tc>
      </w:tr>
      <w:tr w14:paraId="2E44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80" w:type="pct"/>
            <w:vMerge w:val="continue"/>
            <w:vAlign w:val="center"/>
          </w:tcPr>
          <w:p w14:paraId="3A425BE2">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1F9F8E97">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35</w:t>
            </w:r>
          </w:p>
        </w:tc>
        <w:tc>
          <w:tcPr>
            <w:tcW w:w="1803" w:type="pct"/>
            <w:shd w:val="clear" w:color="auto" w:fill="auto"/>
            <w:tcMar>
              <w:top w:w="15" w:type="dxa"/>
              <w:left w:w="15" w:type="dxa"/>
              <w:bottom w:w="0" w:type="dxa"/>
              <w:right w:w="15" w:type="dxa"/>
            </w:tcMar>
            <w:vAlign w:val="center"/>
          </w:tcPr>
          <w:p w14:paraId="67F14BA4">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集中式饮用水源达标率（%）</w:t>
            </w:r>
          </w:p>
        </w:tc>
        <w:tc>
          <w:tcPr>
            <w:tcW w:w="607" w:type="pct"/>
            <w:shd w:val="clear" w:color="auto" w:fill="auto"/>
            <w:tcMar>
              <w:top w:w="15" w:type="dxa"/>
              <w:left w:w="15" w:type="dxa"/>
              <w:bottom w:w="0" w:type="dxa"/>
              <w:right w:w="15" w:type="dxa"/>
            </w:tcMar>
            <w:vAlign w:val="center"/>
          </w:tcPr>
          <w:p w14:paraId="04635C7B">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100</w:t>
            </w:r>
          </w:p>
        </w:tc>
        <w:tc>
          <w:tcPr>
            <w:tcW w:w="605" w:type="pct"/>
            <w:shd w:val="clear" w:color="auto" w:fill="auto"/>
            <w:tcMar>
              <w:top w:w="15" w:type="dxa"/>
              <w:left w:w="15" w:type="dxa"/>
              <w:bottom w:w="0" w:type="dxa"/>
              <w:right w:w="15" w:type="dxa"/>
            </w:tcMar>
            <w:vAlign w:val="center"/>
          </w:tcPr>
          <w:p w14:paraId="18676798">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100</w:t>
            </w:r>
          </w:p>
        </w:tc>
        <w:tc>
          <w:tcPr>
            <w:tcW w:w="605" w:type="pct"/>
            <w:shd w:val="clear" w:color="auto" w:fill="auto"/>
            <w:tcMar>
              <w:top w:w="15" w:type="dxa"/>
              <w:left w:w="15" w:type="dxa"/>
              <w:bottom w:w="0" w:type="dxa"/>
              <w:right w:w="15" w:type="dxa"/>
            </w:tcMar>
            <w:vAlign w:val="center"/>
          </w:tcPr>
          <w:p w14:paraId="6F7D7A43">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100</w:t>
            </w:r>
          </w:p>
        </w:tc>
        <w:tc>
          <w:tcPr>
            <w:tcW w:w="682" w:type="pct"/>
            <w:shd w:val="clear" w:color="auto" w:fill="auto"/>
            <w:tcMar>
              <w:top w:w="15" w:type="dxa"/>
              <w:left w:w="15" w:type="dxa"/>
              <w:bottom w:w="0" w:type="dxa"/>
              <w:right w:w="15" w:type="dxa"/>
            </w:tcMar>
            <w:vAlign w:val="center"/>
          </w:tcPr>
          <w:p w14:paraId="0491EE78">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w:t>
            </w:r>
          </w:p>
        </w:tc>
      </w:tr>
      <w:tr w14:paraId="7E00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380" w:type="pct"/>
            <w:vMerge w:val="continue"/>
            <w:vAlign w:val="center"/>
          </w:tcPr>
          <w:p w14:paraId="4CF0290D">
            <w:pPr>
              <w:widowControl w:val="0"/>
              <w:spacing w:line="360" w:lineRule="exact"/>
              <w:rPr>
                <w:rFonts w:ascii="Times New Roman" w:hAnsi="Times New Roman" w:eastAsia="方正仿宋简体"/>
                <w:color w:val="000000" w:themeColor="text1"/>
                <w14:textFill>
                  <w14:solidFill>
                    <w14:schemeClr w14:val="tx1"/>
                  </w14:solidFill>
                </w14:textFill>
              </w:rPr>
            </w:pPr>
          </w:p>
        </w:tc>
        <w:tc>
          <w:tcPr>
            <w:tcW w:w="316" w:type="pct"/>
            <w:shd w:val="clear" w:color="auto" w:fill="auto"/>
            <w:tcMar>
              <w:top w:w="15" w:type="dxa"/>
              <w:left w:w="15" w:type="dxa"/>
              <w:bottom w:w="0" w:type="dxa"/>
              <w:right w:w="15" w:type="dxa"/>
            </w:tcMar>
            <w:vAlign w:val="center"/>
          </w:tcPr>
          <w:p w14:paraId="6D716385">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36</w:t>
            </w:r>
          </w:p>
        </w:tc>
        <w:tc>
          <w:tcPr>
            <w:tcW w:w="1803" w:type="pct"/>
            <w:shd w:val="clear" w:color="auto" w:fill="auto"/>
            <w:tcMar>
              <w:top w:w="15" w:type="dxa"/>
              <w:left w:w="15" w:type="dxa"/>
              <w:bottom w:w="0" w:type="dxa"/>
              <w:right w:w="15" w:type="dxa"/>
            </w:tcMar>
            <w:vAlign w:val="center"/>
          </w:tcPr>
          <w:p w14:paraId="7D372A23">
            <w:pPr>
              <w:widowControl w:val="0"/>
              <w:spacing w:line="360" w:lineRule="exact"/>
              <w:jc w:val="both"/>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森林覆盖率(%)</w:t>
            </w:r>
          </w:p>
        </w:tc>
        <w:tc>
          <w:tcPr>
            <w:tcW w:w="607" w:type="pct"/>
            <w:shd w:val="clear" w:color="auto" w:fill="auto"/>
            <w:tcMar>
              <w:top w:w="15" w:type="dxa"/>
              <w:left w:w="15" w:type="dxa"/>
              <w:bottom w:w="0" w:type="dxa"/>
              <w:right w:w="15" w:type="dxa"/>
            </w:tcMar>
            <w:vAlign w:val="center"/>
          </w:tcPr>
          <w:p w14:paraId="1509AF9B">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21.69</w:t>
            </w:r>
          </w:p>
        </w:tc>
        <w:tc>
          <w:tcPr>
            <w:tcW w:w="605" w:type="pct"/>
            <w:shd w:val="clear" w:color="auto" w:fill="auto"/>
            <w:tcMar>
              <w:top w:w="15" w:type="dxa"/>
              <w:left w:w="15" w:type="dxa"/>
              <w:bottom w:w="0" w:type="dxa"/>
              <w:right w:w="15" w:type="dxa"/>
            </w:tcMar>
            <w:vAlign w:val="center"/>
          </w:tcPr>
          <w:p w14:paraId="52A0AE92">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22.73</w:t>
            </w:r>
          </w:p>
        </w:tc>
        <w:tc>
          <w:tcPr>
            <w:tcW w:w="605" w:type="pct"/>
            <w:shd w:val="clear" w:color="auto" w:fill="auto"/>
            <w:tcMar>
              <w:top w:w="15" w:type="dxa"/>
              <w:left w:w="15" w:type="dxa"/>
              <w:bottom w:w="0" w:type="dxa"/>
              <w:right w:w="15" w:type="dxa"/>
            </w:tcMar>
            <w:vAlign w:val="center"/>
          </w:tcPr>
          <w:p w14:paraId="5F70CE51">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21.79</w:t>
            </w:r>
          </w:p>
        </w:tc>
        <w:tc>
          <w:tcPr>
            <w:tcW w:w="682" w:type="pct"/>
            <w:shd w:val="clear" w:color="auto" w:fill="auto"/>
            <w:tcMar>
              <w:top w:w="15" w:type="dxa"/>
              <w:left w:w="15" w:type="dxa"/>
              <w:bottom w:w="0" w:type="dxa"/>
              <w:right w:w="15" w:type="dxa"/>
            </w:tcMar>
            <w:vAlign w:val="center"/>
          </w:tcPr>
          <w:p w14:paraId="1FD31263">
            <w:pPr>
              <w:widowControl w:val="0"/>
              <w:spacing w:line="360" w:lineRule="exact"/>
              <w:jc w:val="center"/>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已完成</w:t>
            </w:r>
          </w:p>
        </w:tc>
      </w:tr>
    </w:tbl>
    <w:p w14:paraId="03D4C501">
      <w:pPr>
        <w:widowControl w:val="0"/>
        <w:spacing w:line="580" w:lineRule="exact"/>
        <w:jc w:val="center"/>
        <w:rPr>
          <w:rFonts w:ascii="Times New Roman" w:hAnsi="Times New Roman" w:eastAsia="仿宋" w:cs="仿宋"/>
          <w:b/>
          <w:color w:val="000000" w:themeColor="text1"/>
          <w:kern w:val="2"/>
          <w:sz w:val="32"/>
          <w:szCs w:val="32"/>
          <w14:textFill>
            <w14:solidFill>
              <w14:schemeClr w14:val="tx1"/>
            </w14:solidFill>
          </w14:textFill>
        </w:rPr>
      </w:pPr>
    </w:p>
    <w:p w14:paraId="51DA9F7D">
      <w:pPr>
        <w:widowControl w:val="0"/>
        <w:spacing w:line="580" w:lineRule="exact"/>
        <w:ind w:firstLine="640" w:firstLineChars="200"/>
        <w:jc w:val="both"/>
        <w:rPr>
          <w:rFonts w:ascii="Times New Roman" w:hAnsi="Times New Roman" w:eastAsia="仿宋" w:cs="仿宋"/>
          <w:color w:val="000000" w:themeColor="text1"/>
          <w:kern w:val="2"/>
          <w:sz w:val="32"/>
          <w:szCs w:val="32"/>
          <w14:textFill>
            <w14:solidFill>
              <w14:schemeClr w14:val="tx1"/>
            </w14:solidFill>
          </w14:textFill>
        </w:rPr>
        <w:sectPr>
          <w:pgSz w:w="11900" w:h="16840"/>
          <w:pgMar w:top="1928" w:right="1474" w:bottom="1701" w:left="1588" w:header="851" w:footer="992" w:gutter="0"/>
          <w:cols w:space="425" w:num="1"/>
          <w:docGrid w:type="lines" w:linePitch="423" w:charSpace="0"/>
        </w:sectPr>
      </w:pPr>
    </w:p>
    <w:p w14:paraId="61E74A11">
      <w:pPr>
        <w:pStyle w:val="3"/>
        <w:keepNext w:val="0"/>
        <w:keepLines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23" w:name="_Toc74035485"/>
      <w:bookmarkStart w:id="24" w:name="_Toc48812522"/>
      <w:bookmarkStart w:id="25" w:name="_Toc59811647"/>
      <w:bookmarkStart w:id="26" w:name="_Toc73976133"/>
      <w:r>
        <w:rPr>
          <w:rFonts w:hint="eastAsia" w:ascii="黑体" w:hAnsi="黑体" w:eastAsia="黑体" w:cs="Times New Roman (标题 CS)"/>
          <w:b w:val="0"/>
          <w:color w:val="000000" w:themeColor="text1"/>
          <w14:textFill>
            <w14:solidFill>
              <w14:schemeClr w14:val="tx1"/>
            </w14:solidFill>
          </w14:textFill>
        </w:rPr>
        <w:t>第二节 发展环境</w:t>
      </w:r>
      <w:bookmarkEnd w:id="23"/>
      <w:bookmarkEnd w:id="24"/>
      <w:bookmarkEnd w:id="25"/>
      <w:bookmarkEnd w:id="26"/>
    </w:p>
    <w:p w14:paraId="4B9D63F6"/>
    <w:p w14:paraId="0D95C0E3">
      <w:pPr>
        <w:pStyle w:val="44"/>
        <w:spacing w:line="590" w:lineRule="exact"/>
        <w:ind w:firstLine="640"/>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十四五”时期，世界正经历着百年未有之大变局，国内外环境都发生深刻改变，对鲤城而言，既适逢国家布局战略支撑、泉州环湾向湾建设等重大机遇，也面临外部环境剧变影响、生产资源要素与生态环境制约、产业转型升级速度放缓等重大挑战。</w:t>
      </w:r>
    </w:p>
    <w:p w14:paraId="4B6D33C5">
      <w:pPr>
        <w:pStyle w:val="44"/>
        <w:spacing w:line="590" w:lineRule="exact"/>
        <w:ind w:firstLine="643"/>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从国际看，</w:t>
      </w:r>
      <w:r>
        <w:rPr>
          <w:rFonts w:hint="eastAsia" w:ascii="Times New Roman" w:hAnsi="Times New Roman" w:eastAsia="方正仿宋简体" w:cs="仿宋"/>
          <w:color w:val="000000" w:themeColor="text1"/>
          <w:sz w:val="32"/>
          <w:szCs w:val="32"/>
          <w14:textFill>
            <w14:solidFill>
              <w14:schemeClr w14:val="tx1"/>
            </w14:solidFill>
          </w14:textFill>
        </w:rPr>
        <w:t>当前全球经济仍处于缓慢复苏的深度调整期，世界多极化、经济全球化将继续深入发展，发展的不稳定不确定因素明显增多。新冠肺炎疫情全球大流行导致世界经济秩序失衡进一步加剧，因疫情致贫、返困的人口将急剧上升，全球贫富差距进一步拉大。与此同时以5G技术、物联网、区块链等为代表的新一轮科技革命和产业变革蓄势待发，全球合作正在向多层次、全方位拓展，这也为产业转型升级和参与国际分工合作带来新的发展机遇。</w:t>
      </w:r>
    </w:p>
    <w:p w14:paraId="617BB951">
      <w:pPr>
        <w:pStyle w:val="44"/>
        <w:spacing w:line="590" w:lineRule="exact"/>
        <w:ind w:firstLine="643"/>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从国内看，</w:t>
      </w:r>
      <w:r>
        <w:rPr>
          <w:rFonts w:hint="eastAsia" w:ascii="Times New Roman" w:hAnsi="Times New Roman" w:eastAsia="方正仿宋简体" w:cs="仿宋"/>
          <w:color w:val="000000" w:themeColor="text1"/>
          <w:sz w:val="32"/>
          <w:szCs w:val="32"/>
          <w14:textFill>
            <w14:solidFill>
              <w14:schemeClr w14:val="tx1"/>
            </w14:solidFill>
          </w14:textFill>
        </w:rPr>
        <w:t>我国经济发展形势也发生转变，经济更加追求高质量和可持续发展，发展动力由要素驱动转向创新驱动。国家治理也迈向新阶段，治理体系和能力的现代化水平不断提升。“一带一路”、闽西南协同一体化等区域发展战略大格局逐步形成。以国内大循环为主体、国内国际双循环相互促进的新发展格局加速成型，将扩大内需作为战略基点，加快构建完整内需体系，以供给侧结构性改革作为发展主线，提升产业链供应链发展水平，通过高水平对外开放，深入参与引领国际经济循环。</w:t>
      </w:r>
    </w:p>
    <w:p w14:paraId="0312B7A8">
      <w:pPr>
        <w:pStyle w:val="44"/>
        <w:spacing w:line="590" w:lineRule="exact"/>
        <w:ind w:firstLine="643"/>
        <w:rPr>
          <w:rFonts w:ascii="Times New Roman" w:hAnsi="Times New Roman" w:eastAsia="方正楷体简体" w:cs="仿宋"/>
          <w:b/>
          <w:color w:val="000000" w:themeColor="text1"/>
          <w:sz w:val="32"/>
          <w:szCs w:val="32"/>
          <w14:textFill>
            <w14:solidFill>
              <w14:schemeClr w14:val="tx1"/>
            </w14:solidFill>
          </w14:textFill>
        </w:rPr>
      </w:pPr>
      <w:r>
        <w:rPr>
          <w:rFonts w:hint="eastAsia" w:ascii="Times New Roman" w:hAnsi="Times New Roman" w:eastAsia="方正楷体简体" w:cs="仿宋"/>
          <w:b/>
          <w:color w:val="000000" w:themeColor="text1"/>
          <w:sz w:val="32"/>
          <w:szCs w:val="32"/>
          <w14:textFill>
            <w14:solidFill>
              <w14:schemeClr w14:val="tx1"/>
            </w14:solidFill>
          </w14:textFill>
        </w:rPr>
        <w:t>（一）发展机遇</w:t>
      </w:r>
    </w:p>
    <w:p w14:paraId="7831FF6C">
      <w:pPr>
        <w:pStyle w:val="21"/>
        <w:widowControl w:val="0"/>
        <w:spacing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1.深化国家“一带一路”倡议。</w:t>
      </w:r>
      <w:r>
        <w:rPr>
          <w:rFonts w:hint="eastAsia" w:ascii="Times New Roman" w:hAnsi="Times New Roman" w:eastAsia="方正仿宋简体" w:cs="仿宋"/>
          <w:color w:val="000000" w:themeColor="text1"/>
          <w:kern w:val="2"/>
          <w:sz w:val="32"/>
          <w:szCs w:val="32"/>
          <w14:textFill>
            <w14:solidFill>
              <w14:schemeClr w14:val="tx1"/>
            </w14:solidFill>
          </w14:textFill>
        </w:rPr>
        <w:t>依托更高开放水平的政策，吸引高端、高水平的资金项目。充分发挥“东方第一大港”商贸优势、海外华侨华人优势、历史文化底蕴优势、民营经济活跃优势等，发挥华侨商会平台作用，鼓励侨胞乡贤等投身鲤城家乡建设，进一步加快“走出去”与“引进来”步伐，加强与沿线国家和地区交流合作。</w:t>
      </w:r>
    </w:p>
    <w:p w14:paraId="4BE0CBFB">
      <w:pPr>
        <w:pStyle w:val="21"/>
        <w:widowControl w:val="0"/>
        <w:spacing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2.贯彻落实“三区叠加”战略。</w:t>
      </w:r>
      <w:r>
        <w:rPr>
          <w:rFonts w:hint="eastAsia" w:ascii="Times New Roman" w:hAnsi="Times New Roman" w:eastAsia="方正仿宋简体" w:cs="仿宋"/>
          <w:color w:val="000000" w:themeColor="text1"/>
          <w:kern w:val="2"/>
          <w:sz w:val="32"/>
          <w:szCs w:val="32"/>
          <w14:textFill>
            <w14:solidFill>
              <w14:schemeClr w14:val="tx1"/>
            </w14:solidFill>
          </w14:textFill>
        </w:rPr>
        <w:t>把握中央赋予福建21世纪海上丝绸之路核心区、福厦泉国家自主创新示范区、国家生态文明试验区“三区叠加”政策机遇，积极探索海峡两岸融合发展新路径，加强与周边区域协同合作，吸引周边高端要素资源集聚，</w:t>
      </w:r>
      <w:r>
        <w:rPr>
          <w:rFonts w:hint="eastAsia" w:ascii="Times New Roman" w:hAnsi="Times New Roman" w:eastAsia="方正仿宋简体" w:cs="仿宋"/>
          <w:color w:val="000000" w:themeColor="text1"/>
          <w:spacing w:val="-6"/>
          <w:kern w:val="2"/>
          <w:sz w:val="32"/>
          <w:szCs w:val="32"/>
          <w14:textFill>
            <w14:solidFill>
              <w14:schemeClr w14:val="tx1"/>
            </w14:solidFill>
          </w14:textFill>
        </w:rPr>
        <w:t>承接厦门、福州等城市流失的人才与部分产业，打造区域中心城市。</w:t>
      </w:r>
    </w:p>
    <w:p w14:paraId="545B91A4">
      <w:pPr>
        <w:pStyle w:val="21"/>
        <w:widowControl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Style w:val="38"/>
          <w:rFonts w:hint="eastAsia" w:ascii="Times New Roman" w:hAnsi="Times New Roman" w:eastAsia="方正仿宋简体"/>
          <w:b/>
          <w:color w:val="000000" w:themeColor="text1"/>
          <w:sz w:val="32"/>
          <w:szCs w:val="32"/>
          <w14:textFill>
            <w14:solidFill>
              <w14:schemeClr w14:val="tx1"/>
            </w14:solidFill>
          </w14:textFill>
        </w:rPr>
        <w:t>3.融入泉州环湾向湾发展大局。</w:t>
      </w:r>
      <w:r>
        <w:rPr>
          <w:rStyle w:val="38"/>
          <w:rFonts w:hint="eastAsia" w:ascii="Times New Roman" w:hAnsi="Times New Roman" w:eastAsia="方正仿宋简体"/>
          <w:color w:val="000000" w:themeColor="text1"/>
          <w:sz w:val="32"/>
          <w:szCs w:val="32"/>
          <w14:textFill>
            <w14:solidFill>
              <w14:schemeClr w14:val="tx1"/>
            </w14:solidFill>
          </w14:textFill>
        </w:rPr>
        <w:t>紧抓泉州推动“跨江发展、跨域融合”、加快城市由散到聚、实施环湾主中心和古城主中心建设的机遇，以</w:t>
      </w:r>
      <w:r>
        <w:rPr>
          <w:rFonts w:hint="eastAsia" w:ascii="Times New Roman" w:hAnsi="Times New Roman" w:eastAsia="方正仿宋简体" w:cs="仿宋"/>
          <w:color w:val="000000" w:themeColor="text1"/>
          <w:kern w:val="2"/>
          <w:sz w:val="32"/>
          <w:szCs w:val="32"/>
          <w14:textFill>
            <w14:solidFill>
              <w14:schemeClr w14:val="tx1"/>
            </w14:solidFill>
          </w14:textFill>
        </w:rPr>
        <w:t>“</w:t>
      </w:r>
      <w:r>
        <w:rPr>
          <w:rStyle w:val="38"/>
          <w:rFonts w:hint="eastAsia" w:ascii="Times New Roman" w:hAnsi="Times New Roman" w:eastAsia="方正仿宋简体"/>
          <w:color w:val="000000" w:themeColor="text1"/>
          <w:sz w:val="32"/>
          <w:szCs w:val="32"/>
          <w14:textFill>
            <w14:solidFill>
              <w14:schemeClr w14:val="tx1"/>
            </w14:solidFill>
          </w14:textFill>
        </w:rPr>
        <w:t>区域协同、环湾集聚、江南新区拓展、古城功能优化</w:t>
      </w:r>
      <w:r>
        <w:rPr>
          <w:rFonts w:hint="eastAsia" w:ascii="Times New Roman" w:hAnsi="Times New Roman" w:eastAsia="方正仿宋简体" w:cs="仿宋"/>
          <w:color w:val="000000" w:themeColor="text1"/>
          <w:kern w:val="2"/>
          <w:sz w:val="32"/>
          <w:szCs w:val="32"/>
          <w14:textFill>
            <w14:solidFill>
              <w14:schemeClr w14:val="tx1"/>
            </w14:solidFill>
          </w14:textFill>
        </w:rPr>
        <w:t>”</w:t>
      </w:r>
      <w:r>
        <w:rPr>
          <w:rStyle w:val="38"/>
          <w:rFonts w:hint="eastAsia" w:ascii="Times New Roman" w:hAnsi="Times New Roman" w:eastAsia="方正仿宋简体"/>
          <w:color w:val="000000" w:themeColor="text1"/>
          <w:sz w:val="32"/>
          <w:szCs w:val="32"/>
          <w14:textFill>
            <w14:solidFill>
              <w14:schemeClr w14:val="tx1"/>
            </w14:solidFill>
          </w14:textFill>
        </w:rPr>
        <w:t>为导向，凸显中心城区资源集聚、龙头带动、功能完善、区域联动优势，提升城市发展首位度。</w:t>
      </w:r>
    </w:p>
    <w:p w14:paraId="0ACD93D0">
      <w:pPr>
        <w:pStyle w:val="21"/>
        <w:widowControl w:val="0"/>
        <w:spacing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4.申遗大事件促成发展大契机。</w:t>
      </w:r>
      <w:r>
        <w:rPr>
          <w:rFonts w:hint="eastAsia" w:ascii="Times New Roman" w:hAnsi="Times New Roman" w:eastAsia="方正仿宋简体" w:cs="仿宋"/>
          <w:color w:val="000000" w:themeColor="text1"/>
          <w:kern w:val="2"/>
          <w:sz w:val="32"/>
          <w:szCs w:val="32"/>
          <w14:textFill>
            <w14:solidFill>
              <w14:schemeClr w14:val="tx1"/>
            </w14:solidFill>
          </w14:textFill>
        </w:rPr>
        <w:t>借力“泉州：宋元中国的世界海洋商贸中心”申遗大事件，发挥“东亚文化之都”核心区悠久的历史文化底蕴优势，加快古城保护修复，推进江南新区建设发展，重塑城市新面貌，打造泉州对外经济文化交流展示的重要窗口。</w:t>
      </w:r>
    </w:p>
    <w:p w14:paraId="3A21196C">
      <w:pPr>
        <w:pStyle w:val="44"/>
        <w:spacing w:line="590" w:lineRule="exact"/>
        <w:ind w:firstLine="643"/>
        <w:rPr>
          <w:rFonts w:ascii="Times New Roman" w:hAnsi="Times New Roman" w:eastAsia="方正楷体简体" w:cs="仿宋"/>
          <w:b/>
          <w:color w:val="000000" w:themeColor="text1"/>
          <w:sz w:val="32"/>
          <w:szCs w:val="32"/>
          <w14:textFill>
            <w14:solidFill>
              <w14:schemeClr w14:val="tx1"/>
            </w14:solidFill>
          </w14:textFill>
        </w:rPr>
      </w:pPr>
      <w:r>
        <w:rPr>
          <w:rFonts w:hint="eastAsia" w:ascii="Times New Roman" w:hAnsi="Times New Roman" w:eastAsia="方正楷体简体" w:cs="仿宋"/>
          <w:b/>
          <w:color w:val="000000" w:themeColor="text1"/>
          <w:sz w:val="32"/>
          <w:szCs w:val="32"/>
          <w14:textFill>
            <w14:solidFill>
              <w14:schemeClr w14:val="tx1"/>
            </w14:solidFill>
          </w14:textFill>
        </w:rPr>
        <w:t>（二）重大挑战</w:t>
      </w:r>
    </w:p>
    <w:p w14:paraId="0663EF77">
      <w:pPr>
        <w:widowControl w:val="0"/>
        <w:spacing w:line="590" w:lineRule="exact"/>
        <w:ind w:firstLine="643"/>
        <w:jc w:val="both"/>
        <w:rPr>
          <w:rStyle w:val="38"/>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1.区域城市竞争加剧。</w:t>
      </w:r>
      <w:r>
        <w:rPr>
          <w:rFonts w:hint="eastAsia" w:ascii="Times New Roman" w:hAnsi="Times New Roman" w:eastAsia="方正仿宋简体" w:cs="仿宋"/>
          <w:color w:val="000000" w:themeColor="text1"/>
          <w:sz w:val="32"/>
          <w:szCs w:val="32"/>
          <w14:textFill>
            <w14:solidFill>
              <w14:schemeClr w14:val="tx1"/>
            </w14:solidFill>
          </w14:textFill>
        </w:rPr>
        <w:t>厦门、福州等中心城市的“虹吸效应”一定程度导致鲤城优质资源外流，制约当地资源集聚与产业调整，</w:t>
      </w:r>
      <w:r>
        <w:rPr>
          <w:rStyle w:val="38"/>
          <w:rFonts w:hint="eastAsia" w:ascii="Times New Roman" w:hAnsi="Times New Roman" w:eastAsia="方正仿宋简体"/>
          <w:color w:val="000000" w:themeColor="text1"/>
          <w:sz w:val="32"/>
          <w:szCs w:val="32"/>
          <w14:textFill>
            <w14:solidFill>
              <w14:schemeClr w14:val="tx1"/>
            </w14:solidFill>
          </w14:textFill>
        </w:rPr>
        <w:t>城市营商环境有待加强，国内国际知名度低，城市核心竞争力弱。</w:t>
      </w:r>
    </w:p>
    <w:p w14:paraId="7CB23A5B">
      <w:pPr>
        <w:widowControl w:val="0"/>
        <w:spacing w:line="590" w:lineRule="exact"/>
        <w:ind w:firstLine="643"/>
        <w:jc w:val="both"/>
        <w:rPr>
          <w:rStyle w:val="38"/>
          <w:rFonts w:ascii="Times New Roman" w:hAnsi="Times New Roman" w:eastAsia="方正仿宋简体"/>
          <w:color w:val="000000" w:themeColor="text1"/>
          <w:sz w:val="32"/>
          <w:szCs w:val="32"/>
          <w14:textFill>
            <w14:solidFill>
              <w14:schemeClr w14:val="tx1"/>
            </w14:solidFill>
          </w14:textFill>
        </w:rPr>
      </w:pPr>
      <w:r>
        <w:rPr>
          <w:rStyle w:val="38"/>
          <w:rFonts w:hint="eastAsia" w:ascii="Times New Roman" w:hAnsi="Times New Roman" w:eastAsia="方正仿宋简体"/>
          <w:b/>
          <w:color w:val="000000" w:themeColor="text1"/>
          <w:sz w:val="32"/>
          <w:szCs w:val="32"/>
          <w14:textFill>
            <w14:solidFill>
              <w14:schemeClr w14:val="tx1"/>
            </w14:solidFill>
          </w14:textFill>
        </w:rPr>
        <w:t>2.城市空间布局有待优化。</w:t>
      </w:r>
      <w:r>
        <w:rPr>
          <w:rStyle w:val="38"/>
          <w:rFonts w:hint="eastAsia" w:ascii="Times New Roman" w:hAnsi="Times New Roman" w:eastAsia="方正仿宋简体"/>
          <w:color w:val="000000" w:themeColor="text1"/>
          <w:sz w:val="32"/>
          <w:szCs w:val="32"/>
          <w14:textFill>
            <w14:solidFill>
              <w14:schemeClr w14:val="tx1"/>
            </w14:solidFill>
          </w14:textFill>
        </w:rPr>
        <w:t>跨江发展战略有待加强，江南新区与古城发展紧密度不够，城市产业布局较为分散，城市核心功能区定位不清晰，传统的城市管理模式与水平面临更多挑战，城市发展转型进入加速期。</w:t>
      </w:r>
    </w:p>
    <w:p w14:paraId="27FE7ED5">
      <w:pPr>
        <w:widowControl w:val="0"/>
        <w:spacing w:line="590" w:lineRule="exact"/>
        <w:ind w:firstLine="643"/>
        <w:jc w:val="both"/>
        <w:rPr>
          <w:rStyle w:val="38"/>
          <w:rFonts w:ascii="Times New Roman" w:hAnsi="Times New Roman" w:eastAsia="方正仿宋简体"/>
          <w:color w:val="000000" w:themeColor="text1"/>
          <w:sz w:val="32"/>
          <w:szCs w:val="32"/>
          <w14:textFill>
            <w14:solidFill>
              <w14:schemeClr w14:val="tx1"/>
            </w14:solidFill>
          </w14:textFill>
        </w:rPr>
      </w:pPr>
      <w:r>
        <w:rPr>
          <w:rStyle w:val="38"/>
          <w:rFonts w:hint="eastAsia" w:ascii="Times New Roman" w:hAnsi="Times New Roman" w:eastAsia="方正仿宋简体"/>
          <w:b/>
          <w:color w:val="000000" w:themeColor="text1"/>
          <w:sz w:val="32"/>
          <w:szCs w:val="32"/>
          <w14:textFill>
            <w14:solidFill>
              <w14:schemeClr w14:val="tx1"/>
            </w14:solidFill>
          </w14:textFill>
        </w:rPr>
        <w:t>3.新旧动能转换慢发展后劲不足。</w:t>
      </w:r>
      <w:r>
        <w:rPr>
          <w:rStyle w:val="38"/>
          <w:rFonts w:hint="eastAsia" w:ascii="Times New Roman" w:hAnsi="Times New Roman" w:eastAsia="方正仿宋简体"/>
          <w:color w:val="000000" w:themeColor="text1"/>
          <w:sz w:val="32"/>
          <w:szCs w:val="32"/>
          <w14:textFill>
            <w14:solidFill>
              <w14:schemeClr w14:val="tx1"/>
            </w14:solidFill>
          </w14:textFill>
        </w:rPr>
        <w:t>传统产业大而不强，高新技术产业规模较小。龙头制造企业示范能力弱，品牌服务业企业少，企业自主创新意识不足。现代服务业层次偏低，高端生产性服务业占比不高，对城市产业发展的推动力不强。</w:t>
      </w:r>
    </w:p>
    <w:p w14:paraId="67CD2E8B">
      <w:pPr>
        <w:widowControl w:val="0"/>
        <w:spacing w:line="590" w:lineRule="exact"/>
        <w:ind w:firstLine="643"/>
        <w:jc w:val="both"/>
        <w:rPr>
          <w:rStyle w:val="38"/>
          <w:rFonts w:ascii="Times New Roman" w:hAnsi="Times New Roman" w:eastAsia="方正仿宋简体"/>
          <w:color w:val="000000" w:themeColor="text1"/>
          <w:sz w:val="32"/>
          <w:szCs w:val="32"/>
          <w14:textFill>
            <w14:solidFill>
              <w14:schemeClr w14:val="tx1"/>
            </w14:solidFill>
          </w14:textFill>
        </w:rPr>
      </w:pPr>
      <w:r>
        <w:rPr>
          <w:rStyle w:val="38"/>
          <w:rFonts w:hint="eastAsia" w:ascii="Times New Roman" w:hAnsi="Times New Roman" w:eastAsia="方正仿宋简体"/>
          <w:b/>
          <w:color w:val="000000" w:themeColor="text1"/>
          <w:sz w:val="32"/>
          <w:szCs w:val="32"/>
          <w14:textFill>
            <w14:solidFill>
              <w14:schemeClr w14:val="tx1"/>
            </w14:solidFill>
          </w14:textFill>
        </w:rPr>
        <w:t>4.资源要素瓶颈制约转型发展。</w:t>
      </w:r>
      <w:r>
        <w:rPr>
          <w:rStyle w:val="38"/>
          <w:rFonts w:hint="eastAsia" w:ascii="Times New Roman" w:hAnsi="Times New Roman" w:eastAsia="方正仿宋简体"/>
          <w:color w:val="000000" w:themeColor="text1"/>
          <w:sz w:val="32"/>
          <w:szCs w:val="32"/>
          <w14:textFill>
            <w14:solidFill>
              <w14:schemeClr w14:val="tx1"/>
            </w14:solidFill>
          </w14:textFill>
        </w:rPr>
        <w:t>存量土地资源不足，产业发展</w:t>
      </w:r>
      <w:r>
        <w:rPr>
          <w:rStyle w:val="38"/>
          <w:rFonts w:hint="eastAsia" w:ascii="Times New Roman" w:hAnsi="Times New Roman" w:eastAsia="方正仿宋简体"/>
          <w:bCs/>
          <w:color w:val="000000" w:themeColor="text1"/>
          <w:sz w:val="32"/>
          <w:szCs w:val="32"/>
          <w14:textFill>
            <w14:solidFill>
              <w14:schemeClr w14:val="tx1"/>
            </w14:solidFill>
          </w14:textFill>
        </w:rPr>
        <w:t>人力资源不足</w:t>
      </w:r>
      <w:r>
        <w:rPr>
          <w:rStyle w:val="38"/>
          <w:rFonts w:hint="eastAsia" w:ascii="Times New Roman" w:hAnsi="Times New Roman" w:eastAsia="方正仿宋简体"/>
          <w:color w:val="000000" w:themeColor="text1"/>
          <w:sz w:val="32"/>
          <w:szCs w:val="32"/>
          <w14:textFill>
            <w14:solidFill>
              <w14:schemeClr w14:val="tx1"/>
            </w14:solidFill>
          </w14:textFill>
        </w:rPr>
        <w:t>，高层次人才与职业技能型人才较为短缺，</w:t>
      </w:r>
      <w:r>
        <w:rPr>
          <w:rStyle w:val="38"/>
          <w:rFonts w:hint="eastAsia" w:ascii="Times New Roman" w:hAnsi="Times New Roman" w:eastAsia="方正仿宋简体"/>
          <w:bCs/>
          <w:color w:val="000000" w:themeColor="text1"/>
          <w:sz w:val="32"/>
          <w:szCs w:val="32"/>
          <w14:textFill>
            <w14:solidFill>
              <w14:schemeClr w14:val="tx1"/>
            </w14:solidFill>
          </w14:textFill>
        </w:rPr>
        <w:t>城市开发建设资金保障压力大，</w:t>
      </w:r>
      <w:r>
        <w:rPr>
          <w:rStyle w:val="38"/>
          <w:rFonts w:hint="eastAsia" w:ascii="Times New Roman" w:hAnsi="Times New Roman" w:eastAsia="方正仿宋简体"/>
          <w:color w:val="000000" w:themeColor="text1"/>
          <w:sz w:val="32"/>
          <w:szCs w:val="32"/>
          <w14:textFill>
            <w14:solidFill>
              <w14:schemeClr w14:val="tx1"/>
            </w14:solidFill>
          </w14:textFill>
        </w:rPr>
        <w:t>同时公共服务的不断投入加重财政负担。</w:t>
      </w:r>
      <w:bookmarkStart w:id="27" w:name="_Toc24522262"/>
      <w:r>
        <w:rPr>
          <w:rStyle w:val="38"/>
          <w:rFonts w:hint="eastAsia" w:ascii="Times New Roman" w:hAnsi="Times New Roman" w:eastAsia="方正仿宋简体"/>
          <w:color w:val="000000" w:themeColor="text1"/>
          <w:sz w:val="32"/>
          <w:szCs w:val="32"/>
          <w14:textFill>
            <w14:solidFill>
              <w14:schemeClr w14:val="tx1"/>
            </w14:solidFill>
          </w14:textFill>
        </w:rPr>
        <w:t>城市建设综合成本不断提升和发展资金缺口扩大，给鲤城拓展发展带来一定挑战。</w:t>
      </w:r>
      <w:bookmarkStart w:id="28" w:name="_Toc32942919"/>
    </w:p>
    <w:p w14:paraId="78A9DF8F">
      <w:pPr>
        <w:widowControl w:val="0"/>
        <w:spacing w:line="590" w:lineRule="exact"/>
        <w:ind w:firstLine="643" w:firstLineChars="200"/>
        <w:jc w:val="both"/>
        <w:rPr>
          <w:rStyle w:val="38"/>
          <w:rFonts w:ascii="Times New Roman" w:hAnsi="Times New Roman" w:eastAsia="方正仿宋简体"/>
          <w:color w:val="000000" w:themeColor="text1"/>
          <w:sz w:val="32"/>
          <w:szCs w:val="32"/>
          <w14:textFill>
            <w14:solidFill>
              <w14:schemeClr w14:val="tx1"/>
            </w14:solidFill>
          </w14:textFill>
        </w:rPr>
      </w:pPr>
      <w:bookmarkStart w:id="29" w:name="_Toc35751362"/>
      <w:r>
        <w:rPr>
          <w:rStyle w:val="38"/>
          <w:rFonts w:hint="eastAsia" w:ascii="Times New Roman" w:hAnsi="Times New Roman" w:eastAsia="方正仿宋简体"/>
          <w:b/>
          <w:color w:val="000000" w:themeColor="text1"/>
          <w:sz w:val="32"/>
          <w:szCs w:val="32"/>
          <w14:textFill>
            <w14:solidFill>
              <w14:schemeClr w14:val="tx1"/>
            </w14:solidFill>
          </w14:textFill>
        </w:rPr>
        <w:t>5.城市</w:t>
      </w:r>
      <w:bookmarkEnd w:id="27"/>
      <w:r>
        <w:rPr>
          <w:rStyle w:val="38"/>
          <w:rFonts w:hint="eastAsia" w:ascii="Times New Roman" w:hAnsi="Times New Roman" w:eastAsia="方正仿宋简体"/>
          <w:b/>
          <w:color w:val="000000" w:themeColor="text1"/>
          <w:sz w:val="32"/>
          <w:szCs w:val="32"/>
          <w14:textFill>
            <w14:solidFill>
              <w14:schemeClr w14:val="tx1"/>
            </w14:solidFill>
          </w14:textFill>
        </w:rPr>
        <w:t>服务水平低弱化区域辐射能力。</w:t>
      </w:r>
      <w:bookmarkEnd w:id="28"/>
      <w:bookmarkEnd w:id="29"/>
      <w:r>
        <w:rPr>
          <w:rStyle w:val="38"/>
          <w:rFonts w:hint="eastAsia" w:ascii="Times New Roman" w:hAnsi="Times New Roman" w:eastAsia="方正仿宋简体"/>
          <w:color w:val="000000" w:themeColor="text1"/>
          <w:sz w:val="32"/>
          <w:szCs w:val="32"/>
          <w14:textFill>
            <w14:solidFill>
              <w14:schemeClr w14:val="tx1"/>
            </w14:solidFill>
          </w14:textFill>
        </w:rPr>
        <w:t>域内缺少现代化建筑群，半城市化地区广泛覆盖，拥有全市最好的医疗、教育、文旅等资源，但是对周边县市区辐射能力较弱，且不少优势资源逐渐向丰泽等地区转移，公共服务优势逐渐缩小。</w:t>
      </w:r>
    </w:p>
    <w:p w14:paraId="1F11CECD">
      <w:pPr>
        <w:widowControl w:val="0"/>
        <w:spacing w:line="590" w:lineRule="exact"/>
        <w:ind w:firstLine="640" w:firstLineChars="200"/>
        <w:jc w:val="both"/>
        <w:rPr>
          <w:rStyle w:val="38"/>
          <w:rFonts w:ascii="Times New Roman" w:hAnsi="Times New Roman" w:eastAsia="方正仿宋简体"/>
          <w:color w:val="000000" w:themeColor="text1"/>
          <w:sz w:val="32"/>
          <w:szCs w:val="32"/>
          <w14:textFill>
            <w14:solidFill>
              <w14:schemeClr w14:val="tx1"/>
            </w14:solidFill>
          </w14:textFill>
        </w:rPr>
        <w:sectPr>
          <w:pgSz w:w="11900" w:h="16840"/>
          <w:pgMar w:top="1928" w:right="1474" w:bottom="1701" w:left="1588" w:header="851" w:footer="992" w:gutter="0"/>
          <w:cols w:space="425" w:num="1"/>
          <w:docGrid w:type="lines" w:linePitch="423" w:charSpace="0"/>
        </w:sectPr>
      </w:pPr>
      <w:r>
        <w:rPr>
          <w:rStyle w:val="38"/>
          <w:rFonts w:hint="eastAsia" w:ascii="Times New Roman" w:hAnsi="Times New Roman" w:eastAsia="方正仿宋简体"/>
          <w:color w:val="000000" w:themeColor="text1"/>
          <w:sz w:val="32"/>
          <w:szCs w:val="32"/>
          <w14:textFill>
            <w14:solidFill>
              <w14:schemeClr w14:val="tx1"/>
            </w14:solidFill>
          </w14:textFill>
        </w:rPr>
        <w:t>总体而言，经过“十三五”的持续布局建设，我区经济综合实力和城市承载力获得重大提升，但相对于领先的同类城市，仍然存在产业新旧动能转换不快、城市美誉度不足、服务辐射引领能力不强、公共基础配套设施不完善等短板。“十四五”时期我区需坚持目标导向和问题导向，强化产业支撑，铸发展之基；突出项目拉动，抓发展之要；实施创新驱动，聚发展之力；深化改革开放，谋发展之势，全方位推动我区高质量发展超越。</w:t>
      </w:r>
    </w:p>
    <w:p w14:paraId="1A8E3600">
      <w:pPr>
        <w:pStyle w:val="2"/>
        <w:spacing w:after="0" w:line="590" w:lineRule="exact"/>
        <w:ind w:firstLine="0" w:firstLineChars="0"/>
        <w:jc w:val="center"/>
        <w:rPr>
          <w:rFonts w:ascii="Times New Roman" w:hAnsi="Times New Roman" w:eastAsia="方正黑体简体"/>
          <w:b w:val="0"/>
          <w:color w:val="000000" w:themeColor="text1"/>
          <w:sz w:val="36"/>
          <w14:textFill>
            <w14:solidFill>
              <w14:schemeClr w14:val="tx1"/>
            </w14:solidFill>
          </w14:textFill>
        </w:rPr>
      </w:pPr>
      <w:bookmarkStart w:id="30" w:name="_Toc74035486"/>
      <w:bookmarkStart w:id="31" w:name="_Toc73976134"/>
      <w:bookmarkStart w:id="32" w:name="_Toc59811649"/>
      <w:bookmarkStart w:id="33" w:name="_Toc24522264"/>
      <w:bookmarkStart w:id="34" w:name="_Toc36138711"/>
      <w:bookmarkStart w:id="35" w:name="_Toc48812526"/>
      <w:r>
        <w:rPr>
          <w:rFonts w:hint="eastAsia" w:ascii="Times New Roman" w:hAnsi="Times New Roman" w:eastAsia="方正黑体简体"/>
          <w:b w:val="0"/>
          <w:color w:val="000000" w:themeColor="text1"/>
          <w:sz w:val="36"/>
          <w14:textFill>
            <w14:solidFill>
              <w14:schemeClr w14:val="tx1"/>
            </w14:solidFill>
          </w14:textFill>
        </w:rPr>
        <w:t>第二章 跨越发展，全方位推动高质量发展超越</w:t>
      </w:r>
      <w:bookmarkEnd w:id="30"/>
      <w:bookmarkEnd w:id="31"/>
    </w:p>
    <w:p w14:paraId="049783E1"/>
    <w:p w14:paraId="78C990D5">
      <w:pPr>
        <w:pStyle w:val="3"/>
        <w:keepNext w:val="0"/>
        <w:keepLines w:val="0"/>
        <w:spacing w:before="0" w:after="0" w:line="590" w:lineRule="exact"/>
        <w:jc w:val="center"/>
        <w:rPr>
          <w:rFonts w:ascii="Times New Roman" w:hAnsi="Times New Roman" w:eastAsia="黑体" w:cs="Times New Roman (标题 CS)"/>
          <w:b w:val="0"/>
          <w:color w:val="000000" w:themeColor="text1"/>
          <w14:textFill>
            <w14:solidFill>
              <w14:schemeClr w14:val="tx1"/>
            </w14:solidFill>
          </w14:textFill>
        </w:rPr>
      </w:pPr>
      <w:bookmarkStart w:id="36" w:name="_Toc74035487"/>
      <w:bookmarkStart w:id="37" w:name="_Toc73976135"/>
      <w:r>
        <w:rPr>
          <w:rFonts w:hint="eastAsia" w:ascii="Times New Roman" w:hAnsi="Times New Roman" w:eastAsia="黑体" w:cs="Times New Roman (标题 CS)"/>
          <w:b w:val="0"/>
          <w:color w:val="000000" w:themeColor="text1"/>
          <w14:textFill>
            <w14:solidFill>
              <w14:schemeClr w14:val="tx1"/>
            </w14:solidFill>
          </w14:textFill>
        </w:rPr>
        <w:t>第一节 指导思想</w:t>
      </w:r>
      <w:bookmarkEnd w:id="32"/>
      <w:bookmarkEnd w:id="36"/>
      <w:bookmarkEnd w:id="37"/>
    </w:p>
    <w:p w14:paraId="7EFA1CC4"/>
    <w:p w14:paraId="1E3C239A">
      <w:pPr>
        <w:widowControl w:val="0"/>
        <w:spacing w:line="590" w:lineRule="exact"/>
        <w:ind w:firstLine="640"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color w:val="000000" w:themeColor="text1"/>
          <w:kern w:val="2"/>
          <w:sz w:val="32"/>
          <w:szCs w:val="32"/>
          <w14:textFill>
            <w14:solidFill>
              <w14:schemeClr w14:val="tx1"/>
            </w14:solidFill>
          </w14:textFill>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紧紧围绕统筹推进“五位一体”总体布局和协调推进“四个全面”战略布局，立足新发展阶段、贯彻新发展理念、融入新发展格局，推进“跨江发展、跨域融合”，对标前列、稳中求进、担当作为、勇立潮头，以全方位推动高质量发展超越、创造高品质生活、打造现代化城区、实现高效能治理为导向，以江南新区城市现代化和古城商贸振兴为战略牵引，以深化供给侧结构性改革、创新转型为根本动力，统筹发展和安全，加快构建现代化经济体系，加快提升中心城区能级和核心竞争力，加快建设“品质名城·现代都市”，为全面建设社会主义现代化强区开好局、起好步。</w:t>
      </w:r>
    </w:p>
    <w:p w14:paraId="313AD7A3">
      <w:pPr>
        <w:widowControl w:val="0"/>
        <w:spacing w:line="590" w:lineRule="exact"/>
        <w:ind w:firstLine="640"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p>
    <w:p w14:paraId="7728FFA3">
      <w:pPr>
        <w:pStyle w:val="3"/>
        <w:keepNext w:val="0"/>
        <w:keepLines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38" w:name="_Toc59811650"/>
      <w:bookmarkStart w:id="39" w:name="_Toc73976136"/>
      <w:bookmarkStart w:id="40" w:name="_Toc74035488"/>
      <w:r>
        <w:rPr>
          <w:rFonts w:hint="eastAsia" w:ascii="黑体" w:hAnsi="黑体" w:eastAsia="黑体" w:cs="Times New Roman (标题 CS)"/>
          <w:b w:val="0"/>
          <w:color w:val="000000" w:themeColor="text1"/>
          <w14:textFill>
            <w14:solidFill>
              <w14:schemeClr w14:val="tx1"/>
            </w14:solidFill>
          </w14:textFill>
        </w:rPr>
        <w:t>第二节 发展架构</w:t>
      </w:r>
      <w:bookmarkEnd w:id="38"/>
      <w:bookmarkEnd w:id="39"/>
      <w:bookmarkEnd w:id="40"/>
    </w:p>
    <w:p w14:paraId="6C007230"/>
    <w:p w14:paraId="4DCE8C9D">
      <w:pPr>
        <w:widowControl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立足当前内外发展环境、历史方位和发展主线，履行福建省和泉州市赋予我区转型发展的重大职责，加快海丝先行区建设，发挥我区作为中心主城区对周边区域的辐射带动作用。基于“1235”发展思路，以品质生活、品质产业以及品质城市为发展导向，围绕</w:t>
      </w:r>
      <w:r>
        <w:rPr>
          <w:rFonts w:hint="eastAsia" w:ascii="Times New Roman" w:hAnsi="Times New Roman" w:eastAsia="方正仿宋简体" w:cs="仿宋"/>
          <w:b/>
          <w:color w:val="000000" w:themeColor="text1"/>
          <w:kern w:val="2"/>
          <w:sz w:val="32"/>
          <w:szCs w:val="32"/>
          <w14:textFill>
            <w14:solidFill>
              <w14:schemeClr w14:val="tx1"/>
            </w14:solidFill>
          </w14:textFill>
        </w:rPr>
        <w:t>“品质名城·现代都市”</w:t>
      </w:r>
      <w:r>
        <w:rPr>
          <w:rFonts w:hint="eastAsia" w:ascii="Times New Roman" w:hAnsi="Times New Roman" w:eastAsia="方正仿宋简体"/>
          <w:color w:val="000000" w:themeColor="text1"/>
          <w:sz w:val="32"/>
          <w:szCs w:val="32"/>
          <w14:textFill>
            <w14:solidFill>
              <w14:schemeClr w14:val="tx1"/>
            </w14:solidFill>
          </w14:textFill>
        </w:rPr>
        <w:t>总体发展定位</w:t>
      </w:r>
      <w:r>
        <w:rPr>
          <w:rFonts w:hint="eastAsia" w:ascii="Times New Roman" w:hAnsi="Times New Roman" w:eastAsia="方正仿宋简体"/>
          <w:b/>
          <w:color w:val="000000" w:themeColor="text1"/>
          <w:sz w:val="32"/>
          <w:szCs w:val="32"/>
          <w14:textFill>
            <w14:solidFill>
              <w14:schemeClr w14:val="tx1"/>
            </w14:solidFill>
          </w14:textFill>
        </w:rPr>
        <w:t>，</w:t>
      </w:r>
      <w:r>
        <w:rPr>
          <w:rFonts w:hint="eastAsia" w:ascii="Times New Roman" w:hAnsi="Times New Roman" w:eastAsia="方正仿宋简体"/>
          <w:color w:val="000000" w:themeColor="text1"/>
          <w:sz w:val="32"/>
          <w:szCs w:val="32"/>
          <w14:textFill>
            <w14:solidFill>
              <w14:schemeClr w14:val="tx1"/>
            </w14:solidFill>
          </w14:textFill>
        </w:rPr>
        <w:t>全面构筑</w:t>
      </w:r>
      <w:r>
        <w:rPr>
          <w:rFonts w:hint="eastAsia" w:ascii="Times New Roman" w:hAnsi="Times New Roman" w:eastAsia="方正仿宋简体"/>
          <w:b/>
          <w:color w:val="000000" w:themeColor="text1"/>
          <w:sz w:val="32"/>
          <w:szCs w:val="32"/>
          <w14:textFill>
            <w14:solidFill>
              <w14:schemeClr w14:val="tx1"/>
            </w14:solidFill>
          </w14:textFill>
        </w:rPr>
        <w:t>国际海丝文化旅游度假胜地、海峡两岸科教创新服务中心、中国丝路现代商贸示范城市</w:t>
      </w:r>
      <w:r>
        <w:rPr>
          <w:rFonts w:hint="eastAsia" w:ascii="Times New Roman" w:hAnsi="Times New Roman" w:eastAsia="方正仿宋简体"/>
          <w:color w:val="000000" w:themeColor="text1"/>
          <w:sz w:val="32"/>
          <w:szCs w:val="32"/>
          <w14:textFill>
            <w14:solidFill>
              <w14:schemeClr w14:val="tx1"/>
            </w14:solidFill>
          </w14:textFill>
        </w:rPr>
        <w:t>。</w:t>
      </w:r>
    </w:p>
    <w:p w14:paraId="6232A4D1">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——国际海丝文化旅游度假胜地</w:t>
      </w:r>
      <w:r>
        <w:rPr>
          <w:rFonts w:hint="eastAsia" w:ascii="Times New Roman" w:hAnsi="Times New Roman" w:eastAsia="方正仿宋简体" w:cs="仿宋"/>
          <w:b/>
          <w:color w:val="000000" w:themeColor="text1"/>
          <w:sz w:val="32"/>
          <w:szCs w:val="32"/>
          <w14:textFill>
            <w14:solidFill>
              <w14:schemeClr w14:val="tx1"/>
            </w14:solidFill>
          </w14:textFill>
        </w:rPr>
        <w:t>。</w:t>
      </w:r>
      <w:r>
        <w:rPr>
          <w:rFonts w:hint="eastAsia" w:ascii="Times New Roman" w:hAnsi="Times New Roman" w:eastAsia="方正仿宋简体" w:cs="仿宋"/>
          <w:color w:val="000000" w:themeColor="text1"/>
          <w:sz w:val="32"/>
          <w:szCs w:val="32"/>
          <w14:textFill>
            <w14:solidFill>
              <w14:schemeClr w14:val="tx1"/>
            </w14:solidFill>
          </w14:textFill>
        </w:rPr>
        <w:t>充分发挥鲤城历史文化优势，遵循“原真性保护、活态化利用、功能性提升、生态型修复、家园式共造”理念，扎实做好泉州古城“见人见物见生活”活态传承，打造“世界的古城、活着的古城”，借助生态修复、城市修补进一步提升城市建设风貌，紧抓泉州申遗和创建国家级旅游度假区契机，大力发展古城文旅休闲。</w:t>
      </w:r>
    </w:p>
    <w:p w14:paraId="2FA1C42C">
      <w:pPr>
        <w:pStyle w:val="22"/>
        <w:widowControl w:val="0"/>
        <w:spacing w:before="0" w:beforeAutospacing="0" w:after="0" w:afterAutospacing="0"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——海峡两岸科教创新服务中心</w:t>
      </w:r>
      <w:r>
        <w:rPr>
          <w:rFonts w:hint="eastAsia" w:ascii="Times New Roman" w:hAnsi="Times New Roman" w:eastAsia="方正仿宋简体" w:cs="仿宋"/>
          <w:b/>
          <w:color w:val="000000" w:themeColor="text1"/>
          <w:kern w:val="2"/>
          <w:sz w:val="32"/>
          <w:szCs w:val="32"/>
          <w14:textFill>
            <w14:solidFill>
              <w14:schemeClr w14:val="tx1"/>
            </w14:solidFill>
          </w14:textFill>
        </w:rPr>
        <w:t>。</w:t>
      </w:r>
      <w:r>
        <w:rPr>
          <w:rFonts w:hint="eastAsia" w:ascii="Times New Roman" w:hAnsi="Times New Roman" w:eastAsia="方正仿宋简体" w:cs="仿宋"/>
          <w:color w:val="000000" w:themeColor="text1"/>
          <w:kern w:val="2"/>
          <w:sz w:val="32"/>
          <w:szCs w:val="32"/>
          <w14:textFill>
            <w14:solidFill>
              <w14:schemeClr w14:val="tx1"/>
            </w14:solidFill>
          </w14:textFill>
        </w:rPr>
        <w:t>深化鲤台科教创新交流合作，</w:t>
      </w:r>
      <w:r>
        <w:rPr>
          <w:rFonts w:hint="eastAsia" w:ascii="Times New Roman" w:hAnsi="Times New Roman" w:eastAsia="方正仿宋简体" w:cs="仿宋"/>
          <w:color w:val="000000" w:themeColor="text1"/>
          <w:sz w:val="32"/>
          <w:szCs w:val="32"/>
          <w14:textFill>
            <w14:solidFill>
              <w14:schemeClr w14:val="tx1"/>
            </w14:solidFill>
          </w14:textFill>
        </w:rPr>
        <w:t>加强对台科教文化交流互动，培育建成宽领域、高层次、多形式的海峡两岸科教创新服务中心，贯彻落实上级深化产教融合的精神，对接产业需求推动科教创新发展，构筑创新链、产业链、人才链、供应链融合一体的创新生态圈。</w:t>
      </w:r>
    </w:p>
    <w:p w14:paraId="545FE289">
      <w:pPr>
        <w:widowControl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——中国丝路现代商贸示范城市。</w:t>
      </w:r>
      <w:r>
        <w:rPr>
          <w:rFonts w:hint="eastAsia" w:ascii="Times New Roman" w:hAnsi="Times New Roman" w:eastAsia="方正仿宋简体"/>
          <w:color w:val="000000" w:themeColor="text1"/>
          <w:sz w:val="32"/>
          <w:szCs w:val="32"/>
          <w14:textFill>
            <w14:solidFill>
              <w14:schemeClr w14:val="tx1"/>
            </w14:solidFill>
          </w14:textFill>
        </w:rPr>
        <w:t>坚持“一带一路”倡议</w:t>
      </w:r>
      <w:bookmarkStart w:id="228" w:name="_GoBack"/>
      <w:bookmarkEnd w:id="228"/>
      <w:r>
        <w:rPr>
          <w:rFonts w:hint="eastAsia" w:ascii="Times New Roman" w:hAnsi="Times New Roman" w:eastAsia="方正仿宋简体"/>
          <w:color w:val="000000" w:themeColor="text1"/>
          <w:sz w:val="32"/>
          <w:szCs w:val="32"/>
          <w14:textFill>
            <w14:solidFill>
              <w14:schemeClr w14:val="tx1"/>
            </w14:solidFill>
          </w14:textFill>
        </w:rPr>
        <w:t>，优化开放的经济结构，提升高效的资源配置能力，发挥强大的集聚外溢功能，构建发达的商贸流通网络，实施“古城商贸振兴”战略，以“商圈提升计划”推动都市商贸服务品质化、差异化、特色化发展，在商贸平台交易领域打造现代商贸城市建设的示范标杆。</w:t>
      </w:r>
    </w:p>
    <w:tbl>
      <w:tblPr>
        <w:tblStyle w:val="26"/>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4"/>
      </w:tblGrid>
      <w:tr w14:paraId="06C6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4" w:type="dxa"/>
            <w:shd w:val="clear" w:color="auto" w:fill="auto"/>
          </w:tcPr>
          <w:p w14:paraId="41A64556">
            <w:pPr>
              <w:pStyle w:val="22"/>
              <w:widowControl w:val="0"/>
              <w:shd w:val="clear" w:color="auto" w:fill="FFFFFF"/>
              <w:spacing w:before="0" w:beforeAutospacing="0" w:after="0" w:afterAutospacing="0" w:line="500" w:lineRule="exact"/>
              <w:jc w:val="center"/>
              <w:rPr>
                <w:rFonts w:ascii="Times New Roman" w:hAnsi="Times New Roman" w:eastAsia="方正仿宋简体" w:cs="仿宋"/>
                <w:b/>
                <w:color w:val="000000" w:themeColor="text1"/>
                <w:sz w:val="28"/>
                <w14:textFill>
                  <w14:solidFill>
                    <w14:schemeClr w14:val="tx1"/>
                  </w14:solidFill>
                </w14:textFill>
              </w:rPr>
            </w:pPr>
            <w:r>
              <w:rPr>
                <w:rFonts w:hint="eastAsia" w:ascii="Times New Roman" w:hAnsi="Times New Roman" w:eastAsia="方正仿宋简体" w:cs="仿宋"/>
                <w:b/>
                <w:color w:val="000000" w:themeColor="text1"/>
                <w:kern w:val="2"/>
                <w:sz w:val="28"/>
                <w14:textFill>
                  <w14:solidFill>
                    <w14:schemeClr w14:val="tx1"/>
                  </w14:solidFill>
                </w14:textFill>
              </w:rPr>
              <w:t>专栏2 推动“六个鲤城”建设</w:t>
            </w:r>
          </w:p>
        </w:tc>
      </w:tr>
      <w:tr w14:paraId="640C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5" w:hRule="atLeast"/>
          <w:jc w:val="center"/>
        </w:trPr>
        <w:tc>
          <w:tcPr>
            <w:tcW w:w="8884" w:type="dxa"/>
            <w:shd w:val="clear" w:color="auto" w:fill="auto"/>
          </w:tcPr>
          <w:p w14:paraId="000B8B18">
            <w:pPr>
              <w:widowControl w:val="0"/>
              <w:spacing w:line="500" w:lineRule="exact"/>
              <w:ind w:firstLine="560" w:firstLineChars="200"/>
              <w:jc w:val="both"/>
              <w:rPr>
                <w:rFonts w:ascii="Times New Roman" w:hAnsi="Times New Roman" w:eastAsia="方正仿宋简体" w:cs="仿宋"/>
                <w:color w:val="000000" w:themeColor="text1"/>
                <w:sz w:val="28"/>
                <w:szCs w:val="28"/>
                <w14:textFill>
                  <w14:solidFill>
                    <w14:schemeClr w14:val="tx1"/>
                  </w14:solidFill>
                </w14:textFill>
              </w:rPr>
            </w:pPr>
            <w:r>
              <w:rPr>
                <w:rFonts w:hint="eastAsia" w:ascii="Times New Roman" w:hAnsi="Times New Roman" w:eastAsia="方正仿宋简体" w:cs="仿宋"/>
                <w:color w:val="000000" w:themeColor="text1"/>
                <w:sz w:val="28"/>
                <w:szCs w:val="28"/>
                <w14:textFill>
                  <w14:solidFill>
                    <w14:schemeClr w14:val="tx1"/>
                  </w14:solidFill>
                </w14:textFill>
              </w:rPr>
              <w:t>围绕经济、产业、文化、生态、创新、开放、民生等领域，致力于“历史文化古城”“智造服务新城”“科教创新名城”“商贸旅游都城”“宜居生态绿城”和“开放交流丝城”六城建设。</w:t>
            </w:r>
          </w:p>
          <w:p w14:paraId="323A650D">
            <w:pPr>
              <w:widowControl w:val="0"/>
              <w:spacing w:line="500" w:lineRule="exact"/>
              <w:ind w:firstLine="562" w:firstLineChars="200"/>
              <w:jc w:val="both"/>
              <w:rPr>
                <w:rFonts w:ascii="Times New Roman" w:hAnsi="Times New Roman" w:eastAsia="方正仿宋简体" w:cs="仿宋"/>
                <w:color w:val="000000" w:themeColor="text1"/>
                <w:sz w:val="28"/>
                <w:szCs w:val="28"/>
                <w14:textFill>
                  <w14:solidFill>
                    <w14:schemeClr w14:val="tx1"/>
                  </w14:solidFill>
                </w14:textFill>
              </w:rPr>
            </w:pPr>
            <w:r>
              <w:rPr>
                <w:rFonts w:hint="eastAsia" w:ascii="Times New Roman" w:hAnsi="Times New Roman" w:eastAsia="方正仿宋简体" w:cs="仿宋"/>
                <w:b/>
                <w:color w:val="000000" w:themeColor="text1"/>
                <w:sz w:val="28"/>
                <w:szCs w:val="28"/>
                <w14:textFill>
                  <w14:solidFill>
                    <w14:schemeClr w14:val="tx1"/>
                  </w14:solidFill>
                </w14:textFill>
              </w:rPr>
              <w:sym w:font="Wingdings" w:char="F0D8"/>
            </w:r>
            <w:r>
              <w:rPr>
                <w:rFonts w:hint="eastAsia" w:ascii="Times New Roman" w:hAnsi="Times New Roman" w:eastAsia="方正仿宋简体" w:cs="仿宋"/>
                <w:b/>
                <w:color w:val="000000" w:themeColor="text1"/>
                <w:sz w:val="28"/>
                <w:szCs w:val="28"/>
                <w14:textFill>
                  <w14:solidFill>
                    <w14:schemeClr w14:val="tx1"/>
                  </w14:solidFill>
                </w14:textFill>
              </w:rPr>
              <w:t>历史文化古城：</w:t>
            </w:r>
            <w:r>
              <w:rPr>
                <w:rFonts w:hint="eastAsia" w:ascii="Times New Roman" w:hAnsi="Times New Roman" w:eastAsia="方正仿宋简体" w:cs="仿宋"/>
                <w:color w:val="000000" w:themeColor="text1"/>
                <w:sz w:val="28"/>
                <w:szCs w:val="28"/>
                <w14:textFill>
                  <w14:solidFill>
                    <w14:schemeClr w14:val="tx1"/>
                  </w14:solidFill>
                </w14:textFill>
              </w:rPr>
              <w:t>以弘扬历史文化为重心，推进历史文化遗存保护、非物质文化遗产传承和多元文化交汇融合传播，提高城市知名度和美誉度，建设高品位历史文化名城，增加高品质文化供给，大力提升城市文化软实力。</w:t>
            </w:r>
          </w:p>
          <w:p w14:paraId="6B2B795C">
            <w:pPr>
              <w:widowControl w:val="0"/>
              <w:spacing w:line="500" w:lineRule="exact"/>
              <w:ind w:firstLine="562" w:firstLineChars="200"/>
              <w:jc w:val="both"/>
              <w:rPr>
                <w:rFonts w:ascii="Times New Roman" w:hAnsi="Times New Roman" w:eastAsia="方正仿宋简体" w:cs="仿宋"/>
                <w:color w:val="000000" w:themeColor="text1"/>
                <w:sz w:val="28"/>
                <w:szCs w:val="28"/>
                <w14:textFill>
                  <w14:solidFill>
                    <w14:schemeClr w14:val="tx1"/>
                  </w14:solidFill>
                </w14:textFill>
              </w:rPr>
            </w:pPr>
            <w:r>
              <w:rPr>
                <w:rFonts w:hint="eastAsia" w:ascii="Times New Roman" w:hAnsi="Times New Roman" w:eastAsia="方正仿宋简体" w:cs="仿宋"/>
                <w:b/>
                <w:color w:val="000000" w:themeColor="text1"/>
                <w:sz w:val="28"/>
                <w:szCs w:val="28"/>
                <w14:textFill>
                  <w14:solidFill>
                    <w14:schemeClr w14:val="tx1"/>
                  </w14:solidFill>
                </w14:textFill>
              </w:rPr>
              <w:sym w:font="Wingdings" w:char="F0D8"/>
            </w:r>
            <w:r>
              <w:rPr>
                <w:rFonts w:hint="eastAsia" w:ascii="Times New Roman" w:hAnsi="Times New Roman" w:eastAsia="方正仿宋简体" w:cs="仿宋"/>
                <w:b/>
                <w:color w:val="000000" w:themeColor="text1"/>
                <w:sz w:val="28"/>
                <w:szCs w:val="28"/>
                <w14:textFill>
                  <w14:solidFill>
                    <w14:schemeClr w14:val="tx1"/>
                  </w14:solidFill>
                </w14:textFill>
              </w:rPr>
              <w:t>智造服务新城：</w:t>
            </w:r>
            <w:r>
              <w:rPr>
                <w:rFonts w:hint="eastAsia" w:ascii="Times New Roman" w:hAnsi="Times New Roman" w:eastAsia="方正仿宋简体" w:cs="仿宋"/>
                <w:color w:val="000000" w:themeColor="text1"/>
                <w:sz w:val="28"/>
                <w:szCs w:val="28"/>
                <w14:textFill>
                  <w14:solidFill>
                    <w14:schemeClr w14:val="tx1"/>
                  </w14:solidFill>
                </w14:textFill>
              </w:rPr>
              <w:t>加快产业结构优化升级，聚力做大做强主导产业，推进现代服务业提速增质，大力推动产业现代化发展，抓新经济拓展、老产业链提升，建设先进制造产业基地和现代服务业区域辐射中心。</w:t>
            </w:r>
          </w:p>
          <w:p w14:paraId="6D7DAADE">
            <w:pPr>
              <w:widowControl w:val="0"/>
              <w:spacing w:line="500" w:lineRule="exact"/>
              <w:ind w:firstLine="562" w:firstLineChars="200"/>
              <w:jc w:val="both"/>
              <w:rPr>
                <w:rFonts w:ascii="Times New Roman" w:hAnsi="Times New Roman" w:eastAsia="方正仿宋简体"/>
                <w:sz w:val="28"/>
                <w:szCs w:val="28"/>
              </w:rPr>
            </w:pPr>
            <w:r>
              <w:rPr>
                <w:rFonts w:hint="eastAsia" w:ascii="Times New Roman" w:hAnsi="Times New Roman" w:eastAsia="方正仿宋简体" w:cs="仿宋"/>
                <w:b/>
                <w:color w:val="000000" w:themeColor="text1"/>
                <w:sz w:val="28"/>
                <w:szCs w:val="28"/>
                <w14:textFill>
                  <w14:solidFill>
                    <w14:schemeClr w14:val="tx1"/>
                  </w14:solidFill>
                </w14:textFill>
              </w:rPr>
              <w:sym w:font="Wingdings" w:char="F0D8"/>
            </w:r>
            <w:r>
              <w:rPr>
                <w:rFonts w:hint="eastAsia" w:ascii="Times New Roman" w:hAnsi="Times New Roman" w:eastAsia="方正仿宋简体" w:cs="仿宋"/>
                <w:b/>
                <w:color w:val="000000" w:themeColor="text1"/>
                <w:sz w:val="28"/>
                <w:szCs w:val="28"/>
                <w14:textFill>
                  <w14:solidFill>
                    <w14:schemeClr w14:val="tx1"/>
                  </w14:solidFill>
                </w14:textFill>
              </w:rPr>
              <w:t>科教创新名城：</w:t>
            </w:r>
            <w:r>
              <w:rPr>
                <w:rFonts w:hint="eastAsia" w:ascii="Times New Roman" w:hAnsi="Times New Roman" w:eastAsia="方正仿宋简体" w:cs="仿宋"/>
                <w:color w:val="000000" w:themeColor="text1"/>
                <w:sz w:val="28"/>
                <w:szCs w:val="28"/>
                <w14:textFill>
                  <w14:solidFill>
                    <w14:schemeClr w14:val="tx1"/>
                  </w14:solidFill>
                </w14:textFill>
              </w:rPr>
              <w:t>厚植创新生态，汇聚要素资源，实施创新驱动战略，打造创新驱动转型发展示范区。合理配置科教资源，增强区域战略意识，做大做强“教在鲤城”“学在鲤城”品牌，加快建设具有影响力的区域科教创新战略高地。</w:t>
            </w:r>
          </w:p>
          <w:p w14:paraId="4B731DA3">
            <w:pPr>
              <w:widowControl w:val="0"/>
              <w:spacing w:line="500" w:lineRule="exact"/>
              <w:ind w:firstLine="562" w:firstLineChars="200"/>
              <w:jc w:val="both"/>
              <w:rPr>
                <w:rFonts w:ascii="Times New Roman" w:hAnsi="Times New Roman" w:eastAsia="方正仿宋简体"/>
                <w:sz w:val="28"/>
                <w:szCs w:val="28"/>
              </w:rPr>
            </w:pPr>
            <w:r>
              <w:rPr>
                <w:rFonts w:hint="eastAsia" w:ascii="Times New Roman" w:hAnsi="Times New Roman" w:eastAsia="方正仿宋简体" w:cs="仿宋"/>
                <w:b/>
                <w:color w:val="000000" w:themeColor="text1"/>
                <w:sz w:val="28"/>
                <w:szCs w:val="28"/>
                <w14:textFill>
                  <w14:solidFill>
                    <w14:schemeClr w14:val="tx1"/>
                  </w14:solidFill>
                </w14:textFill>
              </w:rPr>
              <w:sym w:font="Wingdings" w:char="F0D8"/>
            </w:r>
            <w:r>
              <w:rPr>
                <w:rFonts w:hint="eastAsia" w:ascii="Times New Roman" w:hAnsi="Times New Roman" w:eastAsia="方正仿宋简体" w:cs="仿宋"/>
                <w:b/>
                <w:color w:val="000000" w:themeColor="text1"/>
                <w:sz w:val="28"/>
                <w:szCs w:val="28"/>
                <w14:textFill>
                  <w14:solidFill>
                    <w14:schemeClr w14:val="tx1"/>
                  </w14:solidFill>
                </w14:textFill>
              </w:rPr>
              <w:t>商贸旅游都城：</w:t>
            </w:r>
            <w:r>
              <w:rPr>
                <w:rFonts w:hint="eastAsia" w:ascii="Times New Roman" w:hAnsi="Times New Roman" w:eastAsia="方正仿宋简体" w:cs="仿宋"/>
                <w:color w:val="000000" w:themeColor="text1"/>
                <w:sz w:val="28"/>
                <w:szCs w:val="28"/>
                <w14:textFill>
                  <w14:solidFill>
                    <w14:schemeClr w14:val="tx1"/>
                  </w14:solidFill>
                </w14:textFill>
              </w:rPr>
              <w:t>融入“双循环”新发展格局，深化供给侧结构性改革</w:t>
            </w:r>
            <w:r>
              <w:rPr>
                <w:rFonts w:hint="eastAsia" w:ascii="Times New Roman" w:hAnsi="Times New Roman" w:eastAsia="方正仿宋简体"/>
                <w:sz w:val="28"/>
                <w:szCs w:val="28"/>
              </w:rPr>
              <w:t>，</w:t>
            </w:r>
            <w:r>
              <w:rPr>
                <w:rFonts w:hint="eastAsia" w:ascii="Times New Roman" w:hAnsi="Times New Roman" w:eastAsia="方正仿宋简体" w:cs="仿宋"/>
                <w:color w:val="000000" w:themeColor="text1"/>
                <w:sz w:val="28"/>
                <w:szCs w:val="28"/>
                <w14:textFill>
                  <w14:solidFill>
                    <w14:schemeClr w14:val="tx1"/>
                  </w14:solidFill>
                </w14:textFill>
              </w:rPr>
              <w:t>注重需求侧改革，以消费带动经济增长，积极扩大有效投资，加快旅游消费扩容提质，大力培育经济内生动力，抓逆周期投资，扩大“两新一重”盘子，推动消费线上线下互动、内贸外贸融合。</w:t>
            </w:r>
          </w:p>
          <w:p w14:paraId="00ED886C">
            <w:pPr>
              <w:widowControl w:val="0"/>
              <w:spacing w:line="500" w:lineRule="exact"/>
              <w:ind w:firstLine="562" w:firstLineChars="200"/>
              <w:jc w:val="both"/>
              <w:rPr>
                <w:rFonts w:ascii="Times New Roman" w:hAnsi="Times New Roman" w:eastAsia="方正仿宋简体" w:cs="仿宋"/>
                <w:color w:val="000000" w:themeColor="text1"/>
                <w:sz w:val="28"/>
                <w:szCs w:val="28"/>
                <w14:textFill>
                  <w14:solidFill>
                    <w14:schemeClr w14:val="tx1"/>
                  </w14:solidFill>
                </w14:textFill>
              </w:rPr>
            </w:pPr>
            <w:r>
              <w:rPr>
                <w:rFonts w:hint="eastAsia" w:ascii="Times New Roman" w:hAnsi="Times New Roman" w:eastAsia="方正仿宋简体" w:cs="仿宋"/>
                <w:b/>
                <w:color w:val="000000" w:themeColor="text1"/>
                <w:sz w:val="28"/>
                <w:szCs w:val="28"/>
                <w14:textFill>
                  <w14:solidFill>
                    <w14:schemeClr w14:val="tx1"/>
                  </w14:solidFill>
                </w14:textFill>
              </w:rPr>
              <w:sym w:font="Wingdings" w:char="F0D8"/>
            </w:r>
            <w:r>
              <w:rPr>
                <w:rFonts w:hint="eastAsia" w:ascii="Times New Roman" w:hAnsi="Times New Roman" w:eastAsia="方正仿宋简体" w:cs="仿宋"/>
                <w:b/>
                <w:color w:val="000000" w:themeColor="text1"/>
                <w:sz w:val="28"/>
                <w:szCs w:val="28"/>
                <w14:textFill>
                  <w14:solidFill>
                    <w14:schemeClr w14:val="tx1"/>
                  </w14:solidFill>
                </w14:textFill>
              </w:rPr>
              <w:t>宜居生态绿城：</w:t>
            </w:r>
            <w:r>
              <w:rPr>
                <w:rFonts w:hint="eastAsia" w:ascii="Times New Roman" w:hAnsi="Times New Roman" w:eastAsia="方正仿宋简体" w:cs="仿宋"/>
                <w:color w:val="000000" w:themeColor="text1"/>
                <w:sz w:val="28"/>
                <w:szCs w:val="28"/>
                <w14:textFill>
                  <w14:solidFill>
                    <w14:schemeClr w14:val="tx1"/>
                  </w14:solidFill>
                </w14:textFill>
              </w:rPr>
              <w:t>补齐民生发展短板，加大民生社会事业投入，抓民生XIN行动滚动增效，持续推进富民增收。大力推动生态文明建设，以生态连绵带为抓手，构建“山水城”协同发展的全域生态格局。</w:t>
            </w:r>
          </w:p>
          <w:p w14:paraId="7930546A">
            <w:pPr>
              <w:widowControl w:val="0"/>
              <w:spacing w:line="500" w:lineRule="exact"/>
              <w:ind w:firstLine="562" w:firstLineChars="200"/>
              <w:jc w:val="both"/>
              <w:rPr>
                <w:rFonts w:ascii="Times New Roman" w:hAnsi="Times New Roman" w:eastAsia="方正仿宋简体" w:cs="仿宋"/>
                <w:color w:val="000000" w:themeColor="text1"/>
                <w:sz w:val="28"/>
                <w:szCs w:val="28"/>
                <w14:textFill>
                  <w14:solidFill>
                    <w14:schemeClr w14:val="tx1"/>
                  </w14:solidFill>
                </w14:textFill>
              </w:rPr>
            </w:pPr>
            <w:r>
              <w:rPr>
                <w:rFonts w:hint="eastAsia" w:ascii="Times New Roman" w:hAnsi="Times New Roman" w:eastAsia="方正仿宋简体" w:cs="仿宋"/>
                <w:b/>
                <w:color w:val="000000" w:themeColor="text1"/>
                <w:sz w:val="28"/>
                <w:szCs w:val="28"/>
                <w14:textFill>
                  <w14:solidFill>
                    <w14:schemeClr w14:val="tx1"/>
                  </w14:solidFill>
                </w14:textFill>
              </w:rPr>
              <w:sym w:font="Wingdings" w:char="F0D8"/>
            </w:r>
            <w:r>
              <w:rPr>
                <w:rFonts w:hint="eastAsia" w:ascii="Times New Roman" w:hAnsi="Times New Roman" w:eastAsia="方正仿宋简体" w:cs="仿宋"/>
                <w:b/>
                <w:color w:val="000000" w:themeColor="text1"/>
                <w:sz w:val="28"/>
                <w:szCs w:val="28"/>
                <w14:textFill>
                  <w14:solidFill>
                    <w14:schemeClr w14:val="tx1"/>
                  </w14:solidFill>
                </w14:textFill>
              </w:rPr>
              <w:t>开放交流丝城：</w:t>
            </w:r>
            <w:r>
              <w:rPr>
                <w:rFonts w:hint="eastAsia" w:ascii="Times New Roman" w:hAnsi="Times New Roman" w:eastAsia="方正仿宋简体" w:cs="仿宋"/>
                <w:color w:val="000000" w:themeColor="text1"/>
                <w:sz w:val="28"/>
                <w:szCs w:val="28"/>
                <w14:textFill>
                  <w14:solidFill>
                    <w14:schemeClr w14:val="tx1"/>
                  </w14:solidFill>
                </w14:textFill>
              </w:rPr>
              <w:t>拓展开放型经济新空间，增创开放型经济新优势，构建开放型经济新体制，大力推动对外开放，形成全方位多层次宽领域的开放新格局，着力打造“世界遗产城市”和“东亚文创之都”品牌。</w:t>
            </w:r>
          </w:p>
        </w:tc>
      </w:tr>
      <w:bookmarkEnd w:id="33"/>
      <w:bookmarkEnd w:id="34"/>
      <w:bookmarkEnd w:id="35"/>
    </w:tbl>
    <w:p w14:paraId="47BEEB05">
      <w:pPr>
        <w:pStyle w:val="3"/>
        <w:keepNext w:val="0"/>
        <w:keepLines w:val="0"/>
        <w:overflowPunct w:val="0"/>
        <w:spacing w:before="0" w:after="0" w:line="590" w:lineRule="exact"/>
        <w:jc w:val="center"/>
        <w:rPr>
          <w:rFonts w:ascii="Times New Roman" w:hAnsi="Times New Roman" w:eastAsia="黑体" w:cs="Times New Roman (标题 CS)"/>
          <w:b w:val="0"/>
          <w:color w:val="000000" w:themeColor="text1"/>
          <w14:textFill>
            <w14:solidFill>
              <w14:schemeClr w14:val="tx1"/>
            </w14:solidFill>
          </w14:textFill>
        </w:rPr>
      </w:pPr>
      <w:bookmarkStart w:id="41" w:name="_Toc74035489"/>
      <w:bookmarkStart w:id="42" w:name="_Toc73976137"/>
      <w:bookmarkStart w:id="43" w:name="_Toc59811651"/>
      <w:r>
        <w:rPr>
          <w:rFonts w:hint="eastAsia" w:ascii="Times New Roman" w:hAnsi="Times New Roman" w:eastAsia="黑体" w:cs="Times New Roman (标题 CS)"/>
          <w:b w:val="0"/>
          <w:color w:val="000000" w:themeColor="text1"/>
          <w14:textFill>
            <w14:solidFill>
              <w14:schemeClr w14:val="tx1"/>
            </w14:solidFill>
          </w14:textFill>
        </w:rPr>
        <w:t>第三节 远景展望</w:t>
      </w:r>
      <w:bookmarkEnd w:id="41"/>
      <w:bookmarkEnd w:id="42"/>
      <w:bookmarkEnd w:id="43"/>
    </w:p>
    <w:p w14:paraId="07CA338D"/>
    <w:p w14:paraId="1AF66C2D">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到二</w:t>
      </w:r>
      <w:r>
        <w:rPr>
          <w:rFonts w:hint="eastAsia" w:ascii="Times New Roman" w:hAnsi="Times New Roman" w:eastAsia="仿宋" w:cs="仿宋"/>
          <w:color w:val="000000" w:themeColor="text1"/>
          <w:sz w:val="32"/>
          <w:szCs w:val="32"/>
          <w14:textFill>
            <w14:solidFill>
              <w14:schemeClr w14:val="tx1"/>
            </w14:solidFill>
          </w14:textFill>
        </w:rPr>
        <w:t>〇</w:t>
      </w:r>
      <w:r>
        <w:rPr>
          <w:rFonts w:hint="eastAsia" w:ascii="Times New Roman" w:hAnsi="Times New Roman" w:eastAsia="方正仿宋简体" w:cs="仿宋"/>
          <w:color w:val="000000" w:themeColor="text1"/>
          <w:sz w:val="32"/>
          <w:szCs w:val="32"/>
          <w14:textFill>
            <w14:solidFill>
              <w14:schemeClr w14:val="tx1"/>
            </w14:solidFill>
          </w14:textFill>
        </w:rPr>
        <w:t>三五年</w:t>
      </w:r>
      <w:r>
        <w:rPr>
          <w:rFonts w:hint="eastAsia" w:ascii="Times New Roman" w:hAnsi="Times New Roman" w:eastAsia="方正仿宋简体"/>
          <w:color w:val="000000" w:themeColor="text1"/>
          <w:sz w:val="32"/>
          <w:szCs w:val="32"/>
          <w14:textFill>
            <w14:solidFill>
              <w14:schemeClr w14:val="tx1"/>
            </w14:solidFill>
          </w14:textFill>
        </w:rPr>
        <w:t>基本实现社会主义现代化和高质量发展超越的远景目标，与全省、全市一道基本实现全方位高质量发展超越，</w:t>
      </w:r>
      <w:r>
        <w:rPr>
          <w:rFonts w:hint="eastAsia" w:ascii="Times New Roman" w:hAnsi="Times New Roman" w:eastAsia="方正仿宋简体" w:cs="仿宋"/>
          <w:color w:val="000000" w:themeColor="text1"/>
          <w:sz w:val="32"/>
          <w:szCs w:val="32"/>
          <w14:textFill>
            <w14:solidFill>
              <w14:schemeClr w14:val="tx1"/>
            </w14:solidFill>
          </w14:textFill>
        </w:rPr>
        <w:t>基本建设成为社会主义现代化强区，经济实力、科技实力、综合实力大幅跃升，经济总量和居民可支配收入迈上新台阶，基本公共服务实现均等化，城市核心竞争优势凸显，建成现代化产业经济体系，形成运行高效、开放共享、引领发展的创新支撑体系和服务业为主导的经济结构。城市空间分布和规模结构进一步拓展，城市功能优化提升。各方面制度更加成熟、更加定型，法治环境更加完善，基本建成法治政府、法治社会。广泛形成绿色生产生活方式，生态环境根本好转。形成对外开放新格局，参与国际经济合作和竞争新优势明显增强；人民生活更加美好，人的全面发展、全体人民共同富裕取得更为明显实质性进展；党的全面领导落实到各领域各方面的高效执行体系全面形成，全面从严治党持续深入推进，清廉鲤城全面建成，政治生态风清气正，中国特色社会主义制度优势充分彰显。</w:t>
      </w:r>
    </w:p>
    <w:p w14:paraId="502E047F">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p w14:paraId="030D7543">
      <w:pPr>
        <w:pStyle w:val="3"/>
        <w:keepNext w:val="0"/>
        <w:keepLines w:val="0"/>
        <w:overflowPunct w:val="0"/>
        <w:spacing w:before="0" w:after="0" w:line="590" w:lineRule="exact"/>
        <w:jc w:val="center"/>
        <w:rPr>
          <w:rFonts w:ascii="Times New Roman" w:hAnsi="Times New Roman" w:eastAsia="黑体" w:cs="Times New Roman (标题 CS)"/>
          <w:b w:val="0"/>
          <w:color w:val="000000" w:themeColor="text1"/>
          <w14:textFill>
            <w14:solidFill>
              <w14:schemeClr w14:val="tx1"/>
            </w14:solidFill>
          </w14:textFill>
        </w:rPr>
      </w:pPr>
      <w:bookmarkStart w:id="44" w:name="_Toc73976138"/>
      <w:bookmarkStart w:id="45" w:name="_Toc59811652"/>
      <w:bookmarkStart w:id="46" w:name="_Toc74035490"/>
      <w:r>
        <w:rPr>
          <w:rFonts w:hint="eastAsia" w:ascii="Times New Roman" w:hAnsi="Times New Roman" w:eastAsia="黑体" w:cs="Times New Roman (标题 CS)"/>
          <w:b w:val="0"/>
          <w:color w:val="000000" w:themeColor="text1"/>
          <w14:textFill>
            <w14:solidFill>
              <w14:schemeClr w14:val="tx1"/>
            </w14:solidFill>
          </w14:textFill>
        </w:rPr>
        <w:t>第四节 主要目标</w:t>
      </w:r>
      <w:bookmarkEnd w:id="44"/>
      <w:bookmarkEnd w:id="45"/>
      <w:bookmarkEnd w:id="46"/>
    </w:p>
    <w:p w14:paraId="32C47D46">
      <w:pPr>
        <w:widowControl w:val="0"/>
      </w:pPr>
    </w:p>
    <w:p w14:paraId="4B31CC9B">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锚定</w:t>
      </w:r>
      <w:r>
        <w:rPr>
          <w:rFonts w:hint="eastAsia" w:ascii="Times New Roman" w:hAnsi="Times New Roman" w:eastAsia="方正仿宋简体" w:cs="仿宋"/>
          <w:color w:val="000000" w:themeColor="text1"/>
          <w:sz w:val="32"/>
          <w:szCs w:val="32"/>
          <w14:textFill>
            <w14:solidFill>
              <w14:schemeClr w14:val="tx1"/>
            </w14:solidFill>
          </w14:textFill>
        </w:rPr>
        <w:t>二</w:t>
      </w:r>
      <w:r>
        <w:rPr>
          <w:rFonts w:hint="eastAsia" w:ascii="Times New Roman" w:hAnsi="Times New Roman" w:eastAsia="仿宋" w:cs="仿宋"/>
          <w:color w:val="000000" w:themeColor="text1"/>
          <w:sz w:val="32"/>
          <w:szCs w:val="32"/>
          <w14:textFill>
            <w14:solidFill>
              <w14:schemeClr w14:val="tx1"/>
            </w14:solidFill>
          </w14:textFill>
        </w:rPr>
        <w:t>〇</w:t>
      </w:r>
      <w:r>
        <w:rPr>
          <w:rFonts w:hint="eastAsia" w:ascii="Times New Roman" w:hAnsi="Times New Roman" w:eastAsia="方正仿宋简体" w:cs="仿宋"/>
          <w:color w:val="000000" w:themeColor="text1"/>
          <w:sz w:val="32"/>
          <w:szCs w:val="32"/>
          <w14:textFill>
            <w14:solidFill>
              <w14:schemeClr w14:val="tx1"/>
            </w14:solidFill>
          </w14:textFill>
        </w:rPr>
        <w:t>三五年远景目标，综合考虑我区发展基础、发展趋势和发展条件，坚持目标导向和问题导向相结合，坚持守正和创新相统一，</w:t>
      </w:r>
      <w:r>
        <w:rPr>
          <w:rFonts w:hint="eastAsia" w:ascii="Times New Roman" w:hAnsi="Times New Roman" w:eastAsia="方正仿宋简体"/>
          <w:color w:val="000000" w:themeColor="text1"/>
          <w:sz w:val="32"/>
          <w:szCs w:val="32"/>
          <w14:textFill>
            <w14:solidFill>
              <w14:schemeClr w14:val="tx1"/>
            </w14:solidFill>
          </w14:textFill>
        </w:rPr>
        <w:t>到2025年</w:t>
      </w:r>
      <w:r>
        <w:rPr>
          <w:rFonts w:hint="eastAsia" w:ascii="Times New Roman" w:hAnsi="Times New Roman" w:eastAsia="方正仿宋简体" w:cs="仿宋"/>
          <w:color w:val="000000" w:themeColor="text1"/>
          <w:sz w:val="32"/>
          <w:szCs w:val="32"/>
          <w14:textFill>
            <w14:solidFill>
              <w14:schemeClr w14:val="tx1"/>
            </w14:solidFill>
          </w14:textFill>
        </w:rPr>
        <w:t>全区经济建设、政治建设、文化建设、社会建设、生态文明建设迈上新台阶，城市空间布局更加合理，引领融合更加有力；城市现代化深入推进，基本形成“产城人”融合发展的体系格局；居民安居乐业，民生保障需求日益满足，生态环境质量优良，区域治理现代化水平显著提高，城市管理更加</w:t>
      </w:r>
      <w:r>
        <w:rPr>
          <w:rFonts w:hint="eastAsia" w:ascii="Times New Roman" w:hAnsi="Times New Roman" w:eastAsia="方正仿宋简体" w:cs="仿宋"/>
          <w:color w:val="000000" w:themeColor="text1"/>
          <w:spacing w:val="-6"/>
          <w:sz w:val="32"/>
          <w:szCs w:val="32"/>
          <w14:textFill>
            <w14:solidFill>
              <w14:schemeClr w14:val="tx1"/>
            </w14:solidFill>
          </w14:textFill>
        </w:rPr>
        <w:t>精细化，</w:t>
      </w:r>
      <w:r>
        <w:rPr>
          <w:rFonts w:hint="eastAsia" w:ascii="Times New Roman" w:hAnsi="Times New Roman" w:eastAsia="方正仿宋简体" w:cs="仿宋"/>
          <w:color w:val="000000" w:themeColor="text1"/>
          <w:spacing w:val="-6"/>
          <w:kern w:val="2"/>
          <w:sz w:val="32"/>
          <w:szCs w:val="32"/>
          <w14:textFill>
            <w14:solidFill>
              <w14:schemeClr w14:val="tx1"/>
            </w14:solidFill>
          </w14:textFill>
        </w:rPr>
        <w:t>大泉州文旅、科教、商贸“三大中心”</w:t>
      </w:r>
      <w:r>
        <w:rPr>
          <w:rFonts w:hint="eastAsia" w:ascii="Times New Roman" w:hAnsi="Times New Roman" w:eastAsia="方正仿宋简体" w:cs="仿宋"/>
          <w:color w:val="000000" w:themeColor="text1"/>
          <w:spacing w:val="-6"/>
          <w:sz w:val="32"/>
          <w:szCs w:val="32"/>
          <w14:textFill>
            <w14:solidFill>
              <w14:schemeClr w14:val="tx1"/>
            </w14:solidFill>
          </w14:textFill>
        </w:rPr>
        <w:t>建设取得重大突破。</w:t>
      </w:r>
    </w:p>
    <w:p w14:paraId="5A050D46">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——经济产业发展速稳质优。</w:t>
      </w:r>
      <w:r>
        <w:rPr>
          <w:rFonts w:hint="eastAsia" w:ascii="Times New Roman" w:hAnsi="Times New Roman" w:eastAsia="方正仿宋简体" w:cs="仿宋"/>
          <w:color w:val="000000" w:themeColor="text1"/>
          <w:sz w:val="32"/>
          <w:szCs w:val="32"/>
          <w14:textFill>
            <w14:solidFill>
              <w14:schemeClr w14:val="tx1"/>
            </w14:solidFill>
          </w14:textFill>
        </w:rPr>
        <w:t>经济发展动力显著提升，产业结构明显优化，“十四五”期间全区地区生产总值年均增长率不低于7%，力争到</w:t>
      </w:r>
      <w:r>
        <w:rPr>
          <w:rFonts w:ascii="Times New Roman" w:hAnsi="Times New Roman" w:eastAsia="方正仿宋简体" w:cs="仿宋"/>
          <w:color w:val="000000" w:themeColor="text1"/>
          <w:sz w:val="32"/>
          <w:szCs w:val="32"/>
          <w14:textFill>
            <w14:solidFill>
              <w14:schemeClr w14:val="tx1"/>
            </w14:solidFill>
          </w14:textFill>
        </w:rPr>
        <w:t>202</w:t>
      </w:r>
      <w:r>
        <w:rPr>
          <w:rFonts w:ascii="Times New Roman" w:hAnsi="Times New Roman" w:eastAsia="方正仿宋简体" w:cs="仿宋"/>
          <w:color w:val="000000" w:themeColor="text1"/>
          <w:kern w:val="2"/>
          <w:sz w:val="32"/>
          <w:szCs w:val="32"/>
          <w14:textFill>
            <w14:solidFill>
              <w14:schemeClr w14:val="tx1"/>
            </w14:solidFill>
          </w14:textFill>
        </w:rPr>
        <w:t>5</w:t>
      </w:r>
      <w:r>
        <w:rPr>
          <w:rFonts w:hint="eastAsia" w:ascii="Times New Roman" w:hAnsi="Times New Roman" w:eastAsia="方正仿宋简体" w:cs="仿宋"/>
          <w:color w:val="000000" w:themeColor="text1"/>
          <w:kern w:val="2"/>
          <w:sz w:val="32"/>
          <w:szCs w:val="32"/>
          <w14:textFill>
            <w14:solidFill>
              <w14:schemeClr w14:val="tx1"/>
            </w14:solidFill>
          </w14:textFill>
        </w:rPr>
        <w:t>年，</w:t>
      </w:r>
      <w:r>
        <w:rPr>
          <w:rFonts w:hint="eastAsia" w:ascii="Times New Roman" w:hAnsi="Times New Roman" w:eastAsia="方正仿宋简体"/>
          <w:color w:val="000000" w:themeColor="text1"/>
          <w:sz w:val="32"/>
          <w:szCs w:val="32"/>
          <w14:textFill>
            <w14:solidFill>
              <w14:schemeClr w14:val="tx1"/>
            </w14:solidFill>
          </w14:textFill>
        </w:rPr>
        <w:t>全区生产总值突破</w:t>
      </w:r>
      <w:r>
        <w:rPr>
          <w:rFonts w:ascii="Times New Roman" w:hAnsi="Times New Roman" w:eastAsia="方正仿宋简体"/>
          <w:color w:val="000000" w:themeColor="text1"/>
          <w:sz w:val="32"/>
          <w:szCs w:val="32"/>
          <w14:textFill>
            <w14:solidFill>
              <w14:schemeClr w14:val="tx1"/>
            </w14:solidFill>
          </w14:textFill>
        </w:rPr>
        <w:t>650</w:t>
      </w:r>
      <w:r>
        <w:rPr>
          <w:rFonts w:hint="eastAsia" w:ascii="Times New Roman" w:hAnsi="Times New Roman" w:eastAsia="方正仿宋简体"/>
          <w:color w:val="000000" w:themeColor="text1"/>
          <w:sz w:val="32"/>
          <w:szCs w:val="32"/>
          <w14:textFill>
            <w14:solidFill>
              <w14:schemeClr w14:val="tx1"/>
            </w14:solidFill>
          </w14:textFill>
        </w:rPr>
        <w:t>亿元</w:t>
      </w:r>
      <w:r>
        <w:rPr>
          <w:rStyle w:val="34"/>
          <w:rFonts w:ascii="Times New Roman" w:hAnsi="Times New Roman" w:eastAsia="方正仿宋简体"/>
          <w:color w:val="000000" w:themeColor="text1"/>
          <w14:textFill>
            <w14:solidFill>
              <w14:schemeClr w14:val="tx1"/>
            </w14:solidFill>
          </w14:textFill>
        </w:rPr>
        <w:footnoteReference w:id="1"/>
      </w:r>
      <w:r>
        <w:rPr>
          <w:rFonts w:hint="eastAsia" w:ascii="Times New Roman" w:hAnsi="Times New Roman" w:eastAsia="方正仿宋简体" w:cs="仿宋"/>
          <w:color w:val="000000" w:themeColor="text1"/>
          <w:kern w:val="2"/>
          <w:sz w:val="32"/>
          <w:szCs w:val="32"/>
          <w14:textFill>
            <w14:solidFill>
              <w14:schemeClr w14:val="tx1"/>
            </w14:solidFill>
          </w14:textFill>
        </w:rPr>
        <w:t>，</w:t>
      </w:r>
      <w:r>
        <w:rPr>
          <w:rFonts w:hint="eastAsia" w:ascii="Times New Roman" w:hAnsi="Times New Roman" w:eastAsia="方正仿宋简体"/>
          <w:color w:val="000000" w:themeColor="text1"/>
          <w:sz w:val="32"/>
          <w:szCs w:val="32"/>
          <w14:textFill>
            <w14:solidFill>
              <w14:schemeClr w14:val="tx1"/>
            </w14:solidFill>
          </w14:textFill>
        </w:rPr>
        <w:t>一般公共预算总收入超</w:t>
      </w:r>
      <w:r>
        <w:rPr>
          <w:rFonts w:ascii="Times New Roman" w:hAnsi="Times New Roman" w:eastAsia="方正仿宋简体"/>
          <w:color w:val="000000" w:themeColor="text1"/>
          <w:sz w:val="32"/>
          <w:szCs w:val="32"/>
          <w14:textFill>
            <w14:solidFill>
              <w14:schemeClr w14:val="tx1"/>
            </w14:solidFill>
          </w14:textFill>
        </w:rPr>
        <w:t>30</w:t>
      </w:r>
      <w:r>
        <w:rPr>
          <w:rFonts w:hint="eastAsia" w:ascii="Times New Roman" w:hAnsi="Times New Roman" w:eastAsia="方正仿宋简体"/>
          <w:color w:val="000000" w:themeColor="text1"/>
          <w:sz w:val="32"/>
          <w:szCs w:val="32"/>
          <w14:textFill>
            <w14:solidFill>
              <w14:schemeClr w14:val="tx1"/>
            </w14:solidFill>
          </w14:textFill>
        </w:rPr>
        <w:t>亿元</w:t>
      </w:r>
      <w:r>
        <w:rPr>
          <w:rStyle w:val="34"/>
          <w:rFonts w:ascii="Times New Roman" w:hAnsi="Times New Roman" w:eastAsia="方正仿宋简体"/>
          <w:color w:val="000000" w:themeColor="text1"/>
          <w14:textFill>
            <w14:solidFill>
              <w14:schemeClr w14:val="tx1"/>
            </w14:solidFill>
          </w14:textFill>
        </w:rPr>
        <w:footnoteReference w:id="2"/>
      </w:r>
      <w:r>
        <w:rPr>
          <w:rFonts w:hint="eastAsia" w:ascii="Times New Roman" w:hAnsi="Times New Roman" w:eastAsia="方正仿宋简体"/>
          <w:color w:val="000000" w:themeColor="text1"/>
          <w:sz w:val="32"/>
          <w:szCs w:val="32"/>
          <w14:textFill>
            <w14:solidFill>
              <w14:schemeClr w14:val="tx1"/>
            </w14:solidFill>
          </w14:textFill>
        </w:rPr>
        <w:t>，固定资产投资年均增长超</w:t>
      </w:r>
      <w:r>
        <w:rPr>
          <w:rFonts w:ascii="Times New Roman" w:hAnsi="Times New Roman" w:eastAsia="方正仿宋简体"/>
          <w:color w:val="000000" w:themeColor="text1"/>
          <w:sz w:val="32"/>
          <w:szCs w:val="32"/>
          <w14:textFill>
            <w14:solidFill>
              <w14:schemeClr w14:val="tx1"/>
            </w14:solidFill>
          </w14:textFill>
        </w:rPr>
        <w:t>10%</w:t>
      </w:r>
      <w:r>
        <w:rPr>
          <w:rFonts w:hint="eastAsia" w:ascii="Times New Roman" w:hAnsi="Times New Roman" w:eastAsia="方正仿宋简体"/>
          <w:color w:val="000000" w:themeColor="text1"/>
          <w:sz w:val="32"/>
          <w:szCs w:val="32"/>
          <w14:textFill>
            <w14:solidFill>
              <w14:schemeClr w14:val="tx1"/>
            </w14:solidFill>
          </w14:textFill>
        </w:rPr>
        <w:t>，同时以“</w:t>
      </w:r>
      <w:r>
        <w:rPr>
          <w:rFonts w:ascii="Times New Roman" w:hAnsi="Times New Roman" w:eastAsia="方正仿宋简体"/>
          <w:color w:val="000000" w:themeColor="text1"/>
          <w:sz w:val="32"/>
          <w:szCs w:val="32"/>
          <w14:textFill>
            <w14:solidFill>
              <w14:schemeClr w14:val="tx1"/>
            </w14:solidFill>
          </w14:textFill>
        </w:rPr>
        <w:t>852</w:t>
      </w:r>
      <w:r>
        <w:rPr>
          <w:rFonts w:hint="eastAsia" w:ascii="Times New Roman" w:hAnsi="Times New Roman" w:eastAsia="方正仿宋简体"/>
          <w:color w:val="000000" w:themeColor="text1"/>
          <w:sz w:val="32"/>
          <w:szCs w:val="32"/>
          <w14:textFill>
            <w14:solidFill>
              <w14:schemeClr w14:val="tx1"/>
            </w14:solidFill>
          </w14:textFill>
        </w:rPr>
        <w:t>”</w:t>
      </w:r>
      <w:r>
        <w:rPr>
          <w:rStyle w:val="34"/>
          <w:rFonts w:ascii="Times New Roman" w:hAnsi="Times New Roman" w:eastAsia="方正仿宋简体"/>
          <w:color w:val="000000" w:themeColor="text1"/>
          <w14:textFill>
            <w14:solidFill>
              <w14:schemeClr w14:val="tx1"/>
            </w14:solidFill>
          </w14:textFill>
        </w:rPr>
        <w:footnoteReference w:id="3"/>
      </w:r>
      <w:r>
        <w:rPr>
          <w:rFonts w:hint="eastAsia" w:ascii="Times New Roman" w:hAnsi="Times New Roman" w:eastAsia="方正仿宋简体"/>
          <w:color w:val="000000" w:themeColor="text1"/>
          <w:sz w:val="32"/>
          <w:szCs w:val="32"/>
          <w14:textFill>
            <w14:solidFill>
              <w14:schemeClr w14:val="tx1"/>
            </w14:solidFill>
          </w14:textFill>
        </w:rPr>
        <w:t>作为奋斗目标砥砺全区拼搏前行。三次产业比重持续优化，工业转型升级调整逐步完成，主导产业集群竞争力增强，服务业成为全区经济增长重要引擎，占GDP比重超过68%</w:t>
      </w:r>
      <w:r>
        <w:rPr>
          <w:rFonts w:hint="eastAsia" w:ascii="Times New Roman" w:hAnsi="Times New Roman" w:eastAsia="方正仿宋简体" w:cs="仿宋"/>
          <w:color w:val="000000" w:themeColor="text1"/>
          <w:kern w:val="2"/>
          <w:sz w:val="32"/>
          <w:szCs w:val="32"/>
          <w14:textFill>
            <w14:solidFill>
              <w14:schemeClr w14:val="tx1"/>
            </w14:solidFill>
          </w14:textFill>
        </w:rPr>
        <w:t>，</w:t>
      </w:r>
      <w:r>
        <w:rPr>
          <w:rFonts w:hint="eastAsia" w:ascii="Times New Roman" w:hAnsi="Times New Roman" w:eastAsia="方正仿宋简体"/>
          <w:color w:val="000000" w:themeColor="text1"/>
          <w:sz w:val="32"/>
          <w:szCs w:val="32"/>
          <w14:textFill>
            <w14:solidFill>
              <w14:schemeClr w14:val="tx1"/>
            </w14:solidFill>
          </w14:textFill>
        </w:rPr>
        <w:t>对产业引领示范作用凸显，现代商贸城市打造雏形初显，区域辐射服务能力大幅提升。</w:t>
      </w:r>
    </w:p>
    <w:p w14:paraId="4284F05A">
      <w:pPr>
        <w:widowControl w:val="0"/>
        <w:overflowPunct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——科教创新能力大幅跃升。</w:t>
      </w:r>
      <w:r>
        <w:rPr>
          <w:rFonts w:hint="eastAsia" w:ascii="Times New Roman" w:hAnsi="Times New Roman" w:eastAsia="方正仿宋简体" w:cs="仿宋"/>
          <w:color w:val="000000" w:themeColor="text1"/>
          <w:sz w:val="32"/>
          <w:szCs w:val="32"/>
          <w14:textFill>
            <w14:solidFill>
              <w14:schemeClr w14:val="tx1"/>
            </w14:solidFill>
          </w14:textFill>
        </w:rPr>
        <w:t>创新驱动发展体系逐渐完善，建成更具竞争力、更加灵活的人才聚集制度和管理机制，</w:t>
      </w:r>
      <w:r>
        <w:rPr>
          <w:rFonts w:hint="eastAsia" w:ascii="Times New Roman" w:hAnsi="Times New Roman" w:eastAsia="方正仿宋简体"/>
          <w:color w:val="000000" w:themeColor="text1"/>
          <w:sz w:val="32"/>
          <w:szCs w:val="32"/>
          <w14:textFill>
            <w14:solidFill>
              <w14:schemeClr w14:val="tx1"/>
            </w14:solidFill>
          </w14:textFill>
        </w:rPr>
        <w:t>高成长、高科技、高附加值、高投入、高效益发展特征更加明显。</w:t>
      </w:r>
      <w:r>
        <w:rPr>
          <w:rFonts w:hint="eastAsia" w:ascii="Times New Roman" w:hAnsi="Times New Roman" w:eastAsia="方正仿宋简体" w:cs="仿宋"/>
          <w:color w:val="000000" w:themeColor="text1"/>
          <w:sz w:val="32"/>
          <w:szCs w:val="32"/>
          <w14:textFill>
            <w14:solidFill>
              <w14:schemeClr w14:val="tx1"/>
            </w14:solidFill>
          </w14:textFill>
        </w:rPr>
        <w:t>到2025年，规模以上</w:t>
      </w:r>
      <w:r>
        <w:rPr>
          <w:rFonts w:hint="eastAsia" w:ascii="Times New Roman" w:hAnsi="Times New Roman" w:eastAsia="方正仿宋简体"/>
          <w:color w:val="000000" w:themeColor="text1"/>
          <w:sz w:val="32"/>
          <w:szCs w:val="32"/>
          <w14:textFill>
            <w14:solidFill>
              <w14:schemeClr w14:val="tx1"/>
            </w14:solidFill>
          </w14:textFill>
        </w:rPr>
        <w:t>工业全员劳动生产率提高到</w:t>
      </w:r>
      <w:r>
        <w:rPr>
          <w:rFonts w:ascii="Times New Roman" w:hAnsi="Times New Roman" w:eastAsia="方正仿宋简体"/>
          <w:color w:val="000000" w:themeColor="text1"/>
          <w:sz w:val="32"/>
          <w:szCs w:val="32"/>
          <w14:textFill>
            <w14:solidFill>
              <w14:schemeClr w14:val="tx1"/>
            </w14:solidFill>
          </w14:textFill>
        </w:rPr>
        <w:t>40</w:t>
      </w:r>
      <w:r>
        <w:rPr>
          <w:rFonts w:hint="eastAsia" w:ascii="Times New Roman" w:hAnsi="Times New Roman" w:eastAsia="方正仿宋简体"/>
          <w:color w:val="000000" w:themeColor="text1"/>
          <w:sz w:val="32"/>
          <w:szCs w:val="32"/>
          <w14:textFill>
            <w14:solidFill>
              <w14:schemeClr w14:val="tx1"/>
            </w14:solidFill>
          </w14:textFill>
        </w:rPr>
        <w:t>万元/人，R&amp;D经费支出占GDP比重达2%，每万人口发明专利拥有量达15件，省级以上高新技术企业突破150家。</w:t>
      </w:r>
      <w:r>
        <w:rPr>
          <w:rFonts w:hint="eastAsia" w:ascii="Times New Roman" w:hAnsi="Times New Roman" w:eastAsia="方正仿宋简体" w:cs="仿宋"/>
          <w:color w:val="000000" w:themeColor="text1"/>
          <w:sz w:val="32"/>
          <w:szCs w:val="32"/>
          <w14:textFill>
            <w14:solidFill>
              <w14:schemeClr w14:val="tx1"/>
            </w14:solidFill>
          </w14:textFill>
        </w:rPr>
        <w:t>建立健全更加公平优质的基础教育和职业教育发展体系，围绕鲤城主导产业布局，引进与培育更多高层次人才与专业技术人才。两岸科教文化交流不断加强，</w:t>
      </w:r>
      <w:r>
        <w:rPr>
          <w:rFonts w:hint="eastAsia" w:ascii="Times New Roman" w:hAnsi="Times New Roman" w:eastAsia="方正仿宋简体"/>
          <w:color w:val="000000" w:themeColor="text1"/>
          <w:sz w:val="32"/>
          <w:szCs w:val="32"/>
          <w14:textFill>
            <w14:solidFill>
              <w14:schemeClr w14:val="tx1"/>
            </w14:solidFill>
          </w14:textFill>
        </w:rPr>
        <w:t>创新服务中心</w:t>
      </w:r>
      <w:r>
        <w:rPr>
          <w:rFonts w:hint="eastAsia" w:ascii="Times New Roman" w:hAnsi="Times New Roman" w:eastAsia="方正仿宋简体" w:cs="仿宋"/>
          <w:color w:val="000000" w:themeColor="text1"/>
          <w:sz w:val="32"/>
          <w:szCs w:val="32"/>
          <w14:textFill>
            <w14:solidFill>
              <w14:schemeClr w14:val="tx1"/>
            </w14:solidFill>
          </w14:textFill>
        </w:rPr>
        <w:t>基本建成，人才宜居宜业环境提升显著。</w:t>
      </w:r>
    </w:p>
    <w:p w14:paraId="127605CA">
      <w:pPr>
        <w:widowControl w:val="0"/>
        <w:overflowPunct w:val="0"/>
        <w:snapToGrid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——城市风貌焕发全新活力。</w:t>
      </w:r>
      <w:r>
        <w:rPr>
          <w:rFonts w:hint="eastAsia" w:ascii="Times New Roman" w:hAnsi="Times New Roman" w:eastAsia="方正仿宋简体" w:cs="仿宋"/>
          <w:color w:val="000000" w:themeColor="text1"/>
          <w:sz w:val="32"/>
          <w:szCs w:val="32"/>
          <w14:textFill>
            <w14:solidFill>
              <w14:schemeClr w14:val="tx1"/>
            </w14:solidFill>
          </w14:textFill>
        </w:rPr>
        <w:t>基础设施现代化水平大幅提升，综合交通路网全面优化，城市功能更加完善，古城形成既有文化韵味又有蓬勃生机的活态文化空间，新区基本形成“产城人”融合发展的体系格局，成为历史文化与现代文明交相辉映、具有独特魅力的国际海丝文化旅游度假胜地。生态制度和绿色经济体系逐渐完善，</w:t>
      </w:r>
      <w:r>
        <w:rPr>
          <w:rFonts w:hint="eastAsia" w:ascii="Times New Roman" w:hAnsi="Times New Roman" w:eastAsia="方正仿宋简体" w:cs="仿宋"/>
          <w:color w:val="000000" w:themeColor="text1"/>
          <w:kern w:val="2"/>
          <w:sz w:val="32"/>
          <w:szCs w:val="32"/>
          <w14:textFill>
            <w14:solidFill>
              <w14:schemeClr w14:val="tx1"/>
            </w14:solidFill>
          </w14:textFill>
        </w:rPr>
        <w:t>国家生态文明建设示范区效应持续深化拓展，“山水城”协同发展的全域生态格局基本形成</w:t>
      </w:r>
      <w:r>
        <w:rPr>
          <w:rFonts w:hint="eastAsia" w:ascii="Times New Roman" w:hAnsi="Times New Roman" w:eastAsia="方正仿宋简体" w:cs="仿宋"/>
          <w:color w:val="000000" w:themeColor="text1"/>
          <w:sz w:val="32"/>
          <w:szCs w:val="32"/>
          <w14:textFill>
            <w14:solidFill>
              <w14:schemeClr w14:val="tx1"/>
            </w14:solidFill>
          </w14:textFill>
        </w:rPr>
        <w:t>。</w:t>
      </w:r>
    </w:p>
    <w:p w14:paraId="75B2627C">
      <w:pPr>
        <w:widowControl w:val="0"/>
        <w:overflowPunct w:val="0"/>
        <w:snapToGrid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——改革开放水平推向新高度。</w:t>
      </w:r>
      <w:r>
        <w:rPr>
          <w:rFonts w:hint="eastAsia" w:ascii="Times New Roman" w:hAnsi="Times New Roman" w:eastAsia="方正仿宋简体" w:cs="仿宋"/>
          <w:color w:val="000000" w:themeColor="text1"/>
          <w:sz w:val="32"/>
          <w:szCs w:val="32"/>
          <w14:textFill>
            <w14:solidFill>
              <w14:schemeClr w14:val="tx1"/>
            </w14:solidFill>
          </w14:textFill>
        </w:rPr>
        <w:t>行政管理体制、市场经济体制、社会管理体制等重点领域和关键环节改革取得新突破，政府职能转变不断深化，民营经济焕发新生活力，金融服务实体经济能力显著提升，力争建成全市营商环境最优区、市场机制最活区、改革探索领跑区。开放型经济发展水平全面提高，对外开放和区域合作的深度与广度不断拓展，鲤台融合领域不断拓展，台胞台企登陆第一家园建设卓有成效，涉港澳交流活动深入开展，海丝沿线国家合作范围持续扩大，在商贸平台交易领域发展成为中国丝路现代商贸示范标杆。</w:t>
      </w:r>
    </w:p>
    <w:p w14:paraId="7706CF37">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_GB2312"/>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——精神文明建设创建标杆。</w:t>
      </w:r>
      <w:r>
        <w:rPr>
          <w:rFonts w:hint="eastAsia" w:ascii="Times New Roman" w:hAnsi="Times New Roman" w:eastAsia="方正仿宋简体" w:cs="仿宋"/>
          <w:color w:val="000000" w:themeColor="text1"/>
          <w:sz w:val="32"/>
          <w:szCs w:val="32"/>
          <w14:textFill>
            <w14:solidFill>
              <w14:schemeClr w14:val="tx1"/>
            </w14:solidFill>
          </w14:textFill>
        </w:rPr>
        <w:t>新时代精神文明新风尚树立新标杆，</w:t>
      </w:r>
      <w:r>
        <w:rPr>
          <w:rFonts w:hint="eastAsia" w:ascii="Times New Roman" w:hAnsi="Times New Roman" w:eastAsia="方正仿宋简体" w:cs="仿宋"/>
          <w:color w:val="000000" w:themeColor="text1"/>
          <w:kern w:val="2"/>
          <w:sz w:val="32"/>
          <w:szCs w:val="32"/>
          <w14:textFill>
            <w14:solidFill>
              <w14:schemeClr w14:val="tx1"/>
            </w14:solidFill>
          </w14:textFill>
        </w:rPr>
        <w:t>中国梦和社会主义核心价值观深入人心，向上向善的社会风尚更加浓厚，公民科学素质和社会文明程度普遍提高，形成多层次、多样化的公共服务体系。</w:t>
      </w:r>
      <w:r>
        <w:rPr>
          <w:rFonts w:hint="eastAsia" w:ascii="Times New Roman" w:hAnsi="Times New Roman" w:eastAsia="方正仿宋简体" w:cs="仿宋_GB2312"/>
          <w:color w:val="000000" w:themeColor="text1"/>
          <w:kern w:val="2"/>
          <w:sz w:val="32"/>
          <w:szCs w:val="32"/>
          <w14:textFill>
            <w14:solidFill>
              <w14:schemeClr w14:val="tx1"/>
            </w14:solidFill>
          </w14:textFill>
        </w:rPr>
        <w:t>历史文化传承保护工作稳步开展，海丝文化、闽南文化、宗教文化等传统优秀文化得到深度挖掘，城市文化辨识度明显提升，培育形成</w:t>
      </w:r>
      <w:r>
        <w:rPr>
          <w:rFonts w:hint="eastAsia" w:ascii="Times New Roman" w:hAnsi="Times New Roman" w:eastAsia="方正仿宋简体" w:cs="仿宋"/>
          <w:color w:val="000000" w:themeColor="text1"/>
          <w:sz w:val="32"/>
          <w:szCs w:val="32"/>
          <w14:textFill>
            <w14:solidFill>
              <w14:schemeClr w14:val="tx1"/>
            </w14:solidFill>
          </w14:textFill>
        </w:rPr>
        <w:t>具有鲤城特色的多元化、接地气精神文明品牌，争创省级文明城区。</w:t>
      </w:r>
    </w:p>
    <w:p w14:paraId="7A902A0A">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b/>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——治理保障体系不断健全。</w:t>
      </w:r>
      <w:r>
        <w:rPr>
          <w:rFonts w:hint="eastAsia" w:ascii="Times New Roman" w:hAnsi="Times New Roman" w:eastAsia="方正仿宋简体" w:cs="仿宋"/>
          <w:color w:val="000000" w:themeColor="text1"/>
          <w:kern w:val="2"/>
          <w:sz w:val="32"/>
          <w:szCs w:val="32"/>
          <w14:textFill>
            <w14:solidFill>
              <w14:schemeClr w14:val="tx1"/>
            </w14:solidFill>
          </w14:textFill>
        </w:rPr>
        <w:t>健康、卫生、养老、体育、民族宗教、社会保障等实现新突破，居民生活幸福指数不断提升。依法治区取得显著进展，民主法制更加健全，社会公平正义得到有效维护，“强基促稳”等制度创新实践深化拓展，治理体系和治理能力现代化迈出重大步伐，突发公共事件应急能力显著增强，自然灾害防御水平明显提升，“平安鲤城”建设成效显著。到2025年，居民人均可支配收入达6.</w:t>
      </w:r>
      <w:r>
        <w:rPr>
          <w:rFonts w:ascii="Times New Roman" w:hAnsi="Times New Roman" w:eastAsia="方正仿宋简体" w:cs="仿宋"/>
          <w:color w:val="000000" w:themeColor="text1"/>
          <w:kern w:val="2"/>
          <w:sz w:val="32"/>
          <w:szCs w:val="32"/>
          <w14:textFill>
            <w14:solidFill>
              <w14:schemeClr w14:val="tx1"/>
            </w14:solidFill>
          </w14:textFill>
        </w:rPr>
        <w:t>8</w:t>
      </w:r>
      <w:r>
        <w:rPr>
          <w:rFonts w:hint="eastAsia" w:ascii="Times New Roman" w:hAnsi="Times New Roman" w:eastAsia="方正仿宋简体" w:cs="仿宋"/>
          <w:color w:val="000000" w:themeColor="text1"/>
          <w:kern w:val="2"/>
          <w:sz w:val="32"/>
          <w:szCs w:val="32"/>
          <w14:textFill>
            <w14:solidFill>
              <w14:schemeClr w14:val="tx1"/>
            </w14:solidFill>
          </w14:textFill>
        </w:rPr>
        <w:t>万元，城乡居民养老保险参保率、医疗保险参保率分别达到9</w:t>
      </w:r>
      <w:r>
        <w:rPr>
          <w:rFonts w:ascii="Times New Roman" w:hAnsi="Times New Roman" w:eastAsia="方正仿宋简体" w:cs="仿宋"/>
          <w:color w:val="000000" w:themeColor="text1"/>
          <w:kern w:val="2"/>
          <w:sz w:val="32"/>
          <w:szCs w:val="32"/>
          <w14:textFill>
            <w14:solidFill>
              <w14:schemeClr w14:val="tx1"/>
            </w14:solidFill>
          </w14:textFill>
        </w:rPr>
        <w:t>9.8</w:t>
      </w:r>
      <w:r>
        <w:rPr>
          <w:rFonts w:hint="eastAsia" w:ascii="Times New Roman" w:hAnsi="Times New Roman" w:eastAsia="方正仿宋简体" w:cs="仿宋"/>
          <w:color w:val="000000" w:themeColor="text1"/>
          <w:kern w:val="2"/>
          <w:sz w:val="32"/>
          <w:szCs w:val="32"/>
          <w14:textFill>
            <w14:solidFill>
              <w14:schemeClr w14:val="tx1"/>
            </w14:solidFill>
          </w14:textFill>
        </w:rPr>
        <w:t>%、97%。</w:t>
      </w:r>
      <w:r>
        <w:rPr>
          <w:rFonts w:hint="eastAsia" w:ascii="Times New Roman" w:hAnsi="Times New Roman" w:eastAsia="方正仿宋简体" w:cs="仿宋"/>
          <w:b/>
          <w:color w:val="000000" w:themeColor="text1"/>
          <w:kern w:val="2"/>
          <w:sz w:val="32"/>
          <w:szCs w:val="32"/>
          <w14:textFill>
            <w14:solidFill>
              <w14:schemeClr w14:val="tx1"/>
            </w14:solidFill>
          </w14:textFill>
        </w:rPr>
        <w:br w:type="page"/>
      </w:r>
    </w:p>
    <w:p w14:paraId="6240FF4C">
      <w:pPr>
        <w:widowControl w:val="0"/>
        <w:spacing w:line="480" w:lineRule="exact"/>
        <w:jc w:val="center"/>
        <w:rPr>
          <w:rFonts w:ascii="Times New Roman" w:hAnsi="Times New Roman" w:eastAsia="仿宋" w:cs="仿宋"/>
          <w:b/>
          <w:color w:val="000000" w:themeColor="text1"/>
          <w:kern w:val="2"/>
          <w:sz w:val="28"/>
          <w:szCs w:val="32"/>
          <w14:textFill>
            <w14:solidFill>
              <w14:schemeClr w14:val="tx1"/>
            </w14:solidFill>
          </w14:textFill>
        </w:rPr>
      </w:pPr>
      <w:r>
        <w:rPr>
          <w:rFonts w:hint="eastAsia" w:ascii="Times New Roman" w:hAnsi="Times New Roman" w:eastAsia="仿宋" w:cs="仿宋"/>
          <w:b/>
          <w:color w:val="000000" w:themeColor="text1"/>
          <w:kern w:val="2"/>
          <w:sz w:val="28"/>
          <w:szCs w:val="32"/>
          <w14:textFill>
            <w14:solidFill>
              <w14:schemeClr w14:val="tx1"/>
            </w14:solidFill>
          </w14:textFill>
        </w:rPr>
        <w:t>专栏</w:t>
      </w:r>
      <w:r>
        <w:rPr>
          <w:rFonts w:ascii="Times New Roman" w:hAnsi="Times New Roman" w:eastAsia="仿宋" w:cs="仿宋"/>
          <w:b/>
          <w:color w:val="000000" w:themeColor="text1"/>
          <w:kern w:val="2"/>
          <w:sz w:val="28"/>
          <w:szCs w:val="32"/>
          <w14:textFill>
            <w14:solidFill>
              <w14:schemeClr w14:val="tx1"/>
            </w14:solidFill>
          </w14:textFill>
        </w:rPr>
        <w:t>3“</w:t>
      </w:r>
      <w:r>
        <w:rPr>
          <w:rFonts w:hint="eastAsia" w:ascii="Times New Roman" w:hAnsi="Times New Roman" w:eastAsia="仿宋" w:cs="仿宋"/>
          <w:b/>
          <w:color w:val="000000" w:themeColor="text1"/>
          <w:kern w:val="2"/>
          <w:sz w:val="28"/>
          <w:szCs w:val="32"/>
          <w14:textFill>
            <w14:solidFill>
              <w14:schemeClr w14:val="tx1"/>
            </w14:solidFill>
          </w14:textFill>
        </w:rPr>
        <w:t>十四五</w:t>
      </w:r>
      <w:r>
        <w:rPr>
          <w:rFonts w:ascii="Times New Roman" w:hAnsi="Times New Roman" w:eastAsia="仿宋" w:cs="仿宋"/>
          <w:b/>
          <w:color w:val="000000" w:themeColor="text1"/>
          <w:kern w:val="2"/>
          <w:sz w:val="28"/>
          <w:szCs w:val="32"/>
          <w14:textFill>
            <w14:solidFill>
              <w14:schemeClr w14:val="tx1"/>
            </w14:solidFill>
          </w14:textFill>
        </w:rPr>
        <w:t>”</w:t>
      </w:r>
      <w:r>
        <w:rPr>
          <w:rFonts w:hint="eastAsia" w:ascii="Times New Roman" w:hAnsi="Times New Roman" w:eastAsia="仿宋" w:cs="仿宋"/>
          <w:b/>
          <w:color w:val="000000" w:themeColor="text1"/>
          <w:kern w:val="2"/>
          <w:sz w:val="28"/>
          <w:szCs w:val="32"/>
          <w14:textFill>
            <w14:solidFill>
              <w14:schemeClr w14:val="tx1"/>
            </w14:solidFill>
          </w14:textFill>
        </w:rPr>
        <w:t>经济社会发展主要指标</w:t>
      </w:r>
    </w:p>
    <w:tbl>
      <w:tblPr>
        <w:tblStyle w:val="26"/>
        <w:tblW w:w="9215" w:type="dxa"/>
        <w:tblInd w:w="-176" w:type="dxa"/>
        <w:tblLayout w:type="autofit"/>
        <w:tblCellMar>
          <w:top w:w="0" w:type="dxa"/>
          <w:left w:w="108" w:type="dxa"/>
          <w:bottom w:w="0" w:type="dxa"/>
          <w:right w:w="108" w:type="dxa"/>
        </w:tblCellMar>
      </w:tblPr>
      <w:tblGrid>
        <w:gridCol w:w="457"/>
        <w:gridCol w:w="696"/>
        <w:gridCol w:w="3194"/>
        <w:gridCol w:w="1416"/>
        <w:gridCol w:w="816"/>
        <w:gridCol w:w="1462"/>
        <w:gridCol w:w="1174"/>
      </w:tblGrid>
      <w:tr w14:paraId="1DDE29BE">
        <w:tblPrEx>
          <w:tblCellMar>
            <w:top w:w="0" w:type="dxa"/>
            <w:left w:w="108" w:type="dxa"/>
            <w:bottom w:w="0" w:type="dxa"/>
            <w:right w:w="108" w:type="dxa"/>
          </w:tblCellMar>
        </w:tblPrEx>
        <w:trPr>
          <w:trHeight w:val="567" w:hRule="atLeast"/>
          <w:tblHeader/>
        </w:trPr>
        <w:tc>
          <w:tcPr>
            <w:tcW w:w="4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A5F6C6">
            <w:pPr>
              <w:widowControl w:val="0"/>
              <w:spacing w:line="300" w:lineRule="exact"/>
              <w:jc w:val="center"/>
              <w:rPr>
                <w:rFonts w:ascii="Times New Roman" w:hAnsi="Times New Roman" w:eastAsia="方正仿宋简体" w:cs="Times New Roman"/>
                <w:b/>
                <w:bCs/>
                <w:color w:val="000000"/>
              </w:rPr>
            </w:pPr>
            <w:r>
              <w:rPr>
                <w:rFonts w:ascii="Times New Roman" w:hAnsi="Times New Roman" w:eastAsia="方正仿宋简体" w:cs="Times New Roman"/>
                <w:b/>
                <w:bCs/>
                <w:color w:val="000000"/>
              </w:rPr>
              <w:t>分类</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C601E5">
            <w:pPr>
              <w:widowControl w:val="0"/>
              <w:spacing w:line="300" w:lineRule="exact"/>
              <w:jc w:val="center"/>
              <w:rPr>
                <w:rFonts w:ascii="Times New Roman" w:hAnsi="Times New Roman" w:eastAsia="方正仿宋简体" w:cs="Times New Roman"/>
                <w:b/>
                <w:bCs/>
                <w:color w:val="000000"/>
              </w:rPr>
            </w:pPr>
            <w:r>
              <w:rPr>
                <w:rFonts w:ascii="Times New Roman" w:hAnsi="Times New Roman" w:eastAsia="方正仿宋简体" w:cs="Times New Roman"/>
                <w:b/>
                <w:bCs/>
                <w:color w:val="000000"/>
              </w:rPr>
              <w:t>序号</w:t>
            </w:r>
          </w:p>
        </w:tc>
        <w:tc>
          <w:tcPr>
            <w:tcW w:w="31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6EC29F">
            <w:pPr>
              <w:widowControl w:val="0"/>
              <w:spacing w:line="300" w:lineRule="exact"/>
              <w:jc w:val="center"/>
              <w:rPr>
                <w:rFonts w:ascii="Times New Roman" w:hAnsi="Times New Roman" w:eastAsia="方正仿宋简体" w:cs="Times New Roman"/>
                <w:b/>
                <w:bCs/>
                <w:color w:val="000000"/>
              </w:rPr>
            </w:pPr>
            <w:r>
              <w:rPr>
                <w:rFonts w:ascii="Times New Roman" w:hAnsi="Times New Roman" w:eastAsia="方正仿宋简体" w:cs="Times New Roman"/>
                <w:b/>
                <w:bCs/>
                <w:color w:val="000000"/>
              </w:rPr>
              <w:t>指标名称</w:t>
            </w:r>
          </w:p>
        </w:tc>
        <w:tc>
          <w:tcPr>
            <w:tcW w:w="1416" w:type="dxa"/>
            <w:vMerge w:val="restart"/>
            <w:tcBorders>
              <w:top w:val="single" w:color="auto" w:sz="4" w:space="0"/>
              <w:left w:val="nil"/>
              <w:right w:val="single" w:color="auto" w:sz="4" w:space="0"/>
            </w:tcBorders>
            <w:shd w:val="clear" w:color="auto" w:fill="auto"/>
            <w:vAlign w:val="center"/>
          </w:tcPr>
          <w:p w14:paraId="31D072B9">
            <w:pPr>
              <w:widowControl w:val="0"/>
              <w:spacing w:line="300" w:lineRule="exact"/>
              <w:jc w:val="center"/>
              <w:rPr>
                <w:rFonts w:ascii="Times New Roman" w:hAnsi="Times New Roman" w:eastAsia="方正仿宋简体" w:cs="Times New Roman"/>
                <w:b/>
                <w:bCs/>
                <w:color w:val="000000"/>
              </w:rPr>
            </w:pPr>
            <w:r>
              <w:rPr>
                <w:rFonts w:ascii="Times New Roman" w:hAnsi="Times New Roman" w:eastAsia="方正仿宋简体" w:cs="Times New Roman"/>
                <w:b/>
                <w:bCs/>
                <w:color w:val="000000"/>
              </w:rPr>
              <w:t>2020年</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260FEA60">
            <w:pPr>
              <w:widowControl w:val="0"/>
              <w:spacing w:line="300" w:lineRule="exact"/>
              <w:jc w:val="center"/>
              <w:rPr>
                <w:rFonts w:ascii="Times New Roman" w:hAnsi="Times New Roman" w:eastAsia="方正仿宋简体" w:cs="Times New Roman"/>
                <w:b/>
                <w:bCs/>
                <w:color w:val="000000"/>
              </w:rPr>
            </w:pPr>
            <w:r>
              <w:rPr>
                <w:rFonts w:ascii="Times New Roman" w:hAnsi="Times New Roman" w:eastAsia="方正仿宋简体" w:cs="Times New Roman"/>
                <w:b/>
                <w:bCs/>
                <w:color w:val="000000"/>
              </w:rPr>
              <w:t>2025年</w:t>
            </w:r>
          </w:p>
        </w:tc>
        <w:tc>
          <w:tcPr>
            <w:tcW w:w="11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6FFC31">
            <w:pPr>
              <w:widowControl w:val="0"/>
              <w:spacing w:line="300" w:lineRule="exact"/>
              <w:jc w:val="center"/>
              <w:rPr>
                <w:rFonts w:ascii="Times New Roman" w:hAnsi="Times New Roman" w:eastAsia="方正仿宋简体" w:cs="Times New Roman"/>
                <w:b/>
                <w:bCs/>
                <w:color w:val="000000"/>
              </w:rPr>
            </w:pPr>
            <w:r>
              <w:rPr>
                <w:rFonts w:ascii="Times New Roman" w:hAnsi="Times New Roman" w:eastAsia="方正仿宋简体" w:cs="Times New Roman"/>
                <w:b/>
                <w:bCs/>
                <w:color w:val="000000"/>
              </w:rPr>
              <w:t>属性</w:t>
            </w:r>
          </w:p>
        </w:tc>
      </w:tr>
      <w:tr w14:paraId="2E8AE1FC">
        <w:tblPrEx>
          <w:tblCellMar>
            <w:top w:w="0" w:type="dxa"/>
            <w:left w:w="108" w:type="dxa"/>
            <w:bottom w:w="0" w:type="dxa"/>
            <w:right w:w="108" w:type="dxa"/>
          </w:tblCellMar>
        </w:tblPrEx>
        <w:trPr>
          <w:trHeight w:val="567" w:hRule="atLeast"/>
          <w:tblHeader/>
        </w:trPr>
        <w:tc>
          <w:tcPr>
            <w:tcW w:w="457" w:type="dxa"/>
            <w:vMerge w:val="continue"/>
            <w:tcBorders>
              <w:top w:val="single" w:color="auto" w:sz="4" w:space="0"/>
              <w:left w:val="single" w:color="auto" w:sz="4" w:space="0"/>
              <w:bottom w:val="single" w:color="auto" w:sz="4" w:space="0"/>
              <w:right w:val="single" w:color="auto" w:sz="4" w:space="0"/>
            </w:tcBorders>
            <w:vAlign w:val="center"/>
          </w:tcPr>
          <w:p w14:paraId="0B754C28">
            <w:pPr>
              <w:widowControl w:val="0"/>
              <w:spacing w:line="300" w:lineRule="exact"/>
              <w:rPr>
                <w:rFonts w:ascii="Times New Roman" w:hAnsi="Times New Roman" w:eastAsia="方正仿宋简体" w:cs="Times New Roman"/>
                <w:b/>
                <w:bCs/>
                <w:color w:val="000000"/>
              </w:rPr>
            </w:pPr>
          </w:p>
        </w:tc>
        <w:tc>
          <w:tcPr>
            <w:tcW w:w="696" w:type="dxa"/>
            <w:vMerge w:val="continue"/>
            <w:tcBorders>
              <w:top w:val="single" w:color="auto" w:sz="4" w:space="0"/>
              <w:left w:val="single" w:color="auto" w:sz="4" w:space="0"/>
              <w:bottom w:val="single" w:color="auto" w:sz="4" w:space="0"/>
              <w:right w:val="single" w:color="auto" w:sz="4" w:space="0"/>
            </w:tcBorders>
            <w:vAlign w:val="center"/>
          </w:tcPr>
          <w:p w14:paraId="1450710F">
            <w:pPr>
              <w:widowControl w:val="0"/>
              <w:spacing w:line="300" w:lineRule="exact"/>
              <w:rPr>
                <w:rFonts w:ascii="Times New Roman" w:hAnsi="Times New Roman" w:eastAsia="方正仿宋简体" w:cs="Times New Roman"/>
                <w:b/>
                <w:bCs/>
                <w:color w:val="000000"/>
              </w:rPr>
            </w:pPr>
          </w:p>
        </w:tc>
        <w:tc>
          <w:tcPr>
            <w:tcW w:w="3194" w:type="dxa"/>
            <w:vMerge w:val="continue"/>
            <w:tcBorders>
              <w:top w:val="single" w:color="auto" w:sz="4" w:space="0"/>
              <w:left w:val="single" w:color="auto" w:sz="4" w:space="0"/>
              <w:bottom w:val="single" w:color="auto" w:sz="4" w:space="0"/>
              <w:right w:val="single" w:color="auto" w:sz="4" w:space="0"/>
            </w:tcBorders>
            <w:vAlign w:val="center"/>
          </w:tcPr>
          <w:p w14:paraId="23CCF0D6">
            <w:pPr>
              <w:widowControl w:val="0"/>
              <w:spacing w:line="300" w:lineRule="exact"/>
              <w:rPr>
                <w:rFonts w:ascii="Times New Roman" w:hAnsi="Times New Roman" w:eastAsia="方正仿宋简体" w:cs="Times New Roman"/>
                <w:b/>
                <w:bCs/>
                <w:color w:val="000000"/>
              </w:rPr>
            </w:pPr>
          </w:p>
        </w:tc>
        <w:tc>
          <w:tcPr>
            <w:tcW w:w="1416" w:type="dxa"/>
            <w:vMerge w:val="continue"/>
            <w:tcBorders>
              <w:left w:val="nil"/>
              <w:bottom w:val="single" w:color="auto" w:sz="4" w:space="0"/>
              <w:right w:val="single" w:color="auto" w:sz="4" w:space="0"/>
            </w:tcBorders>
            <w:shd w:val="clear" w:color="auto" w:fill="auto"/>
            <w:vAlign w:val="center"/>
          </w:tcPr>
          <w:p w14:paraId="27BE1391">
            <w:pPr>
              <w:widowControl w:val="0"/>
              <w:spacing w:line="300" w:lineRule="exact"/>
              <w:jc w:val="center"/>
              <w:rPr>
                <w:rFonts w:ascii="Times New Roman" w:hAnsi="Times New Roman" w:eastAsia="方正仿宋简体" w:cs="Times New Roman"/>
                <w:b/>
                <w:bCs/>
                <w:color w:val="000000"/>
              </w:rPr>
            </w:pPr>
          </w:p>
        </w:tc>
        <w:tc>
          <w:tcPr>
            <w:tcW w:w="816" w:type="dxa"/>
            <w:tcBorders>
              <w:top w:val="nil"/>
              <w:left w:val="nil"/>
              <w:bottom w:val="single" w:color="auto" w:sz="4" w:space="0"/>
              <w:right w:val="single" w:color="auto" w:sz="4" w:space="0"/>
            </w:tcBorders>
            <w:shd w:val="clear" w:color="auto" w:fill="auto"/>
            <w:vAlign w:val="center"/>
          </w:tcPr>
          <w:p w14:paraId="5DCD2B36">
            <w:pPr>
              <w:widowControl w:val="0"/>
              <w:spacing w:line="300" w:lineRule="exact"/>
              <w:jc w:val="center"/>
              <w:rPr>
                <w:rFonts w:ascii="Times New Roman" w:hAnsi="Times New Roman" w:eastAsia="方正仿宋简体" w:cs="Times New Roman"/>
                <w:b/>
                <w:bCs/>
                <w:color w:val="000000"/>
              </w:rPr>
            </w:pPr>
            <w:r>
              <w:rPr>
                <w:rFonts w:ascii="Times New Roman" w:hAnsi="Times New Roman" w:eastAsia="方正仿宋简体" w:cs="Times New Roman"/>
                <w:b/>
                <w:bCs/>
                <w:color w:val="000000"/>
              </w:rPr>
              <w:t>目标</w:t>
            </w:r>
          </w:p>
        </w:tc>
        <w:tc>
          <w:tcPr>
            <w:tcW w:w="1462" w:type="dxa"/>
            <w:tcBorders>
              <w:top w:val="nil"/>
              <w:left w:val="nil"/>
              <w:bottom w:val="single" w:color="auto" w:sz="4" w:space="0"/>
              <w:right w:val="single" w:color="auto" w:sz="4" w:space="0"/>
            </w:tcBorders>
            <w:shd w:val="clear" w:color="auto" w:fill="auto"/>
            <w:vAlign w:val="center"/>
          </w:tcPr>
          <w:p w14:paraId="421A042A">
            <w:pPr>
              <w:widowControl w:val="0"/>
              <w:spacing w:line="300" w:lineRule="exact"/>
              <w:jc w:val="center"/>
              <w:rPr>
                <w:rFonts w:ascii="Times New Roman" w:hAnsi="Times New Roman" w:eastAsia="方正仿宋简体" w:cs="Times New Roman"/>
                <w:b/>
                <w:bCs/>
                <w:color w:val="000000"/>
              </w:rPr>
            </w:pPr>
            <w:r>
              <w:rPr>
                <w:rFonts w:ascii="Times New Roman" w:hAnsi="Times New Roman" w:eastAsia="方正仿宋简体" w:cs="Times New Roman"/>
                <w:b/>
                <w:bCs/>
                <w:color w:val="000000"/>
              </w:rPr>
              <w:t>年均增幅</w:t>
            </w:r>
          </w:p>
        </w:tc>
        <w:tc>
          <w:tcPr>
            <w:tcW w:w="1174" w:type="dxa"/>
            <w:vMerge w:val="continue"/>
            <w:tcBorders>
              <w:top w:val="single" w:color="auto" w:sz="4" w:space="0"/>
              <w:left w:val="single" w:color="auto" w:sz="4" w:space="0"/>
              <w:bottom w:val="single" w:color="auto" w:sz="4" w:space="0"/>
              <w:right w:val="single" w:color="auto" w:sz="4" w:space="0"/>
            </w:tcBorders>
            <w:vAlign w:val="center"/>
          </w:tcPr>
          <w:p w14:paraId="4ABAE607">
            <w:pPr>
              <w:widowControl w:val="0"/>
              <w:spacing w:line="300" w:lineRule="exact"/>
              <w:rPr>
                <w:rFonts w:ascii="Times New Roman" w:hAnsi="Times New Roman" w:eastAsia="方正仿宋简体" w:cs="Times New Roman"/>
                <w:b/>
                <w:bCs/>
                <w:color w:val="000000"/>
              </w:rPr>
            </w:pPr>
          </w:p>
        </w:tc>
      </w:tr>
      <w:tr w14:paraId="5399453C">
        <w:tblPrEx>
          <w:tblCellMar>
            <w:top w:w="0" w:type="dxa"/>
            <w:left w:w="108" w:type="dxa"/>
            <w:bottom w:w="0" w:type="dxa"/>
            <w:right w:w="108" w:type="dxa"/>
          </w:tblCellMar>
        </w:tblPrEx>
        <w:trPr>
          <w:trHeight w:val="680" w:hRule="atLeast"/>
        </w:trPr>
        <w:tc>
          <w:tcPr>
            <w:tcW w:w="457" w:type="dxa"/>
            <w:vMerge w:val="restart"/>
            <w:tcBorders>
              <w:top w:val="nil"/>
              <w:left w:val="single" w:color="auto" w:sz="4" w:space="0"/>
              <w:bottom w:val="single" w:color="auto" w:sz="4" w:space="0"/>
              <w:right w:val="single" w:color="auto" w:sz="4" w:space="0"/>
            </w:tcBorders>
            <w:shd w:val="clear" w:color="auto" w:fill="auto"/>
            <w:vAlign w:val="center"/>
          </w:tcPr>
          <w:p w14:paraId="19D257D2">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经济质效</w:t>
            </w:r>
          </w:p>
        </w:tc>
        <w:tc>
          <w:tcPr>
            <w:tcW w:w="696" w:type="dxa"/>
            <w:tcBorders>
              <w:top w:val="nil"/>
              <w:left w:val="nil"/>
              <w:bottom w:val="single" w:color="auto" w:sz="4" w:space="0"/>
              <w:right w:val="single" w:color="auto" w:sz="4" w:space="0"/>
            </w:tcBorders>
            <w:shd w:val="clear" w:color="auto" w:fill="auto"/>
            <w:vAlign w:val="center"/>
          </w:tcPr>
          <w:p w14:paraId="347C707C">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1</w:t>
            </w:r>
          </w:p>
        </w:tc>
        <w:tc>
          <w:tcPr>
            <w:tcW w:w="3194" w:type="dxa"/>
            <w:tcBorders>
              <w:top w:val="nil"/>
              <w:left w:val="nil"/>
              <w:bottom w:val="single" w:color="auto" w:sz="4" w:space="0"/>
              <w:right w:val="single" w:color="auto" w:sz="4" w:space="0"/>
            </w:tcBorders>
            <w:shd w:val="clear" w:color="auto" w:fill="auto"/>
            <w:vAlign w:val="center"/>
          </w:tcPr>
          <w:p w14:paraId="20294E7A">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地区生产总值（亿元）</w:t>
            </w:r>
          </w:p>
        </w:tc>
        <w:tc>
          <w:tcPr>
            <w:tcW w:w="1416" w:type="dxa"/>
            <w:tcBorders>
              <w:top w:val="nil"/>
              <w:left w:val="nil"/>
              <w:bottom w:val="single" w:color="auto" w:sz="4" w:space="0"/>
              <w:right w:val="single" w:color="auto" w:sz="4" w:space="0"/>
            </w:tcBorders>
            <w:shd w:val="clear" w:color="auto" w:fill="auto"/>
            <w:vAlign w:val="center"/>
          </w:tcPr>
          <w:p w14:paraId="6B77B9B3">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438.</w:t>
            </w:r>
            <w:r>
              <w:rPr>
                <w:rFonts w:hint="eastAsia" w:ascii="Times New Roman" w:hAnsi="Times New Roman" w:eastAsia="方正仿宋简体" w:cs="Times New Roman"/>
                <w:color w:val="000000"/>
              </w:rPr>
              <w:t>08</w:t>
            </w:r>
          </w:p>
        </w:tc>
        <w:tc>
          <w:tcPr>
            <w:tcW w:w="816" w:type="dxa"/>
            <w:tcBorders>
              <w:top w:val="nil"/>
              <w:left w:val="nil"/>
              <w:bottom w:val="single" w:color="auto" w:sz="4" w:space="0"/>
              <w:right w:val="single" w:color="auto" w:sz="4" w:space="0"/>
            </w:tcBorders>
            <w:shd w:val="clear" w:color="auto" w:fill="auto"/>
            <w:vAlign w:val="center"/>
          </w:tcPr>
          <w:p w14:paraId="00955C77">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650</w:t>
            </w:r>
          </w:p>
        </w:tc>
        <w:tc>
          <w:tcPr>
            <w:tcW w:w="1462" w:type="dxa"/>
            <w:tcBorders>
              <w:top w:val="nil"/>
              <w:left w:val="nil"/>
              <w:bottom w:val="single" w:color="auto" w:sz="4" w:space="0"/>
              <w:right w:val="single" w:color="auto" w:sz="4" w:space="0"/>
            </w:tcBorders>
            <w:shd w:val="clear" w:color="auto" w:fill="auto"/>
            <w:vAlign w:val="center"/>
          </w:tcPr>
          <w:p w14:paraId="6674A7AE">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年均增长不低于7%</w:t>
            </w:r>
          </w:p>
        </w:tc>
        <w:tc>
          <w:tcPr>
            <w:tcW w:w="1174" w:type="dxa"/>
            <w:tcBorders>
              <w:top w:val="nil"/>
              <w:left w:val="nil"/>
              <w:bottom w:val="single" w:color="auto" w:sz="4" w:space="0"/>
              <w:right w:val="single" w:color="auto" w:sz="4" w:space="0"/>
            </w:tcBorders>
            <w:shd w:val="clear" w:color="auto" w:fill="auto"/>
            <w:vAlign w:val="center"/>
          </w:tcPr>
          <w:p w14:paraId="141AB93A">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5B745248">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12826CC6">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15D5E971">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2</w:t>
            </w:r>
          </w:p>
        </w:tc>
        <w:tc>
          <w:tcPr>
            <w:tcW w:w="3194" w:type="dxa"/>
            <w:tcBorders>
              <w:top w:val="nil"/>
              <w:left w:val="nil"/>
              <w:bottom w:val="single" w:color="auto" w:sz="4" w:space="0"/>
              <w:right w:val="single" w:color="auto" w:sz="4" w:space="0"/>
            </w:tcBorders>
            <w:shd w:val="clear" w:color="auto" w:fill="auto"/>
            <w:vAlign w:val="center"/>
          </w:tcPr>
          <w:p w14:paraId="1CFEC459">
            <w:pPr>
              <w:widowControl w:val="0"/>
              <w:spacing w:line="300" w:lineRule="exact"/>
              <w:rPr>
                <w:rFonts w:ascii="Times New Roman" w:hAnsi="Times New Roman" w:eastAsia="方正仿宋简体" w:cs="Times New Roman"/>
                <w:color w:val="000000"/>
              </w:rPr>
            </w:pPr>
            <w:r>
              <w:rPr>
                <w:rFonts w:hint="eastAsia" w:ascii="Times New Roman" w:hAnsi="Times New Roman" w:eastAsia="方正仿宋简体" w:cs="Times New Roman"/>
                <w:color w:val="000000"/>
              </w:rPr>
              <w:t>人均地区生产总值（万元）</w:t>
            </w:r>
          </w:p>
        </w:tc>
        <w:tc>
          <w:tcPr>
            <w:tcW w:w="1416" w:type="dxa"/>
            <w:tcBorders>
              <w:top w:val="nil"/>
              <w:left w:val="nil"/>
              <w:bottom w:val="single" w:color="auto" w:sz="4" w:space="0"/>
              <w:right w:val="single" w:color="auto" w:sz="4" w:space="0"/>
            </w:tcBorders>
            <w:shd w:val="clear" w:color="auto" w:fill="auto"/>
            <w:vAlign w:val="center"/>
          </w:tcPr>
          <w:p w14:paraId="68AECCC8">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11.06</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55539FF8">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15</w:t>
            </w:r>
          </w:p>
        </w:tc>
        <w:tc>
          <w:tcPr>
            <w:tcW w:w="1174" w:type="dxa"/>
            <w:tcBorders>
              <w:top w:val="nil"/>
              <w:left w:val="nil"/>
              <w:bottom w:val="single" w:color="auto" w:sz="4" w:space="0"/>
              <w:right w:val="single" w:color="auto" w:sz="4" w:space="0"/>
            </w:tcBorders>
            <w:shd w:val="clear" w:color="auto" w:fill="auto"/>
            <w:vAlign w:val="center"/>
          </w:tcPr>
          <w:p w14:paraId="3D5B60A0">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39D2BB61">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39D5F98E">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0B99DA04">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3</w:t>
            </w:r>
          </w:p>
        </w:tc>
        <w:tc>
          <w:tcPr>
            <w:tcW w:w="3194" w:type="dxa"/>
            <w:tcBorders>
              <w:top w:val="nil"/>
              <w:left w:val="nil"/>
              <w:bottom w:val="single" w:color="auto" w:sz="4" w:space="0"/>
              <w:right w:val="single" w:color="auto" w:sz="4" w:space="0"/>
            </w:tcBorders>
            <w:shd w:val="clear" w:color="auto" w:fill="auto"/>
            <w:vAlign w:val="center"/>
          </w:tcPr>
          <w:p w14:paraId="58E4EF22">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一般公共预算总收入（亿元）</w:t>
            </w:r>
          </w:p>
        </w:tc>
        <w:tc>
          <w:tcPr>
            <w:tcW w:w="1416" w:type="dxa"/>
            <w:tcBorders>
              <w:top w:val="nil"/>
              <w:left w:val="nil"/>
              <w:bottom w:val="single" w:color="auto" w:sz="4" w:space="0"/>
              <w:right w:val="single" w:color="auto" w:sz="4" w:space="0"/>
            </w:tcBorders>
            <w:shd w:val="clear" w:color="auto" w:fill="auto"/>
            <w:vAlign w:val="center"/>
          </w:tcPr>
          <w:p w14:paraId="38298BA1">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20.24</w:t>
            </w:r>
          </w:p>
        </w:tc>
        <w:tc>
          <w:tcPr>
            <w:tcW w:w="2278" w:type="dxa"/>
            <w:gridSpan w:val="2"/>
            <w:tcBorders>
              <w:top w:val="nil"/>
              <w:left w:val="nil"/>
              <w:bottom w:val="single" w:color="auto" w:sz="4" w:space="0"/>
              <w:right w:val="single" w:color="auto" w:sz="4" w:space="0"/>
            </w:tcBorders>
            <w:shd w:val="clear" w:color="auto" w:fill="auto"/>
            <w:vAlign w:val="center"/>
          </w:tcPr>
          <w:p w14:paraId="5DE94DEA">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年均增长不低于10</w:t>
            </w:r>
            <w:r>
              <w:rPr>
                <w:rFonts w:ascii="Times New Roman" w:hAnsi="Times New Roman" w:eastAsia="方正仿宋简体" w:cs="Times New Roman"/>
                <w:color w:val="000000"/>
              </w:rPr>
              <w:t>%</w:t>
            </w:r>
          </w:p>
        </w:tc>
        <w:tc>
          <w:tcPr>
            <w:tcW w:w="1174" w:type="dxa"/>
            <w:tcBorders>
              <w:top w:val="nil"/>
              <w:left w:val="nil"/>
              <w:bottom w:val="single" w:color="auto" w:sz="4" w:space="0"/>
              <w:right w:val="single" w:color="auto" w:sz="4" w:space="0"/>
            </w:tcBorders>
            <w:shd w:val="clear" w:color="auto" w:fill="auto"/>
            <w:vAlign w:val="center"/>
          </w:tcPr>
          <w:p w14:paraId="056731E0">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10AD6660">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2B5815F1">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4CFF7086">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4</w:t>
            </w:r>
          </w:p>
        </w:tc>
        <w:tc>
          <w:tcPr>
            <w:tcW w:w="3194" w:type="dxa"/>
            <w:tcBorders>
              <w:top w:val="nil"/>
              <w:left w:val="nil"/>
              <w:bottom w:val="single" w:color="auto" w:sz="4" w:space="0"/>
              <w:right w:val="single" w:color="auto" w:sz="4" w:space="0"/>
            </w:tcBorders>
            <w:shd w:val="clear" w:color="auto" w:fill="auto"/>
            <w:vAlign w:val="center"/>
          </w:tcPr>
          <w:p w14:paraId="1D9E17E5">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固定资产投资</w:t>
            </w:r>
            <w:r>
              <w:rPr>
                <w:rFonts w:hint="eastAsia" w:ascii="Times New Roman" w:hAnsi="Times New Roman" w:eastAsia="方正仿宋简体" w:cs="Times New Roman"/>
                <w:color w:val="000000"/>
              </w:rPr>
              <w:t>增长率</w:t>
            </w:r>
            <w:r>
              <w:rPr>
                <w:rFonts w:ascii="Times New Roman" w:hAnsi="Times New Roman" w:eastAsia="方正仿宋简体" w:cs="Times New Roman"/>
                <w:color w:val="000000"/>
              </w:rPr>
              <w:t>（%）</w:t>
            </w:r>
          </w:p>
        </w:tc>
        <w:tc>
          <w:tcPr>
            <w:tcW w:w="1416" w:type="dxa"/>
            <w:tcBorders>
              <w:top w:val="nil"/>
              <w:left w:val="nil"/>
              <w:bottom w:val="single" w:color="auto" w:sz="4" w:space="0"/>
              <w:right w:val="single" w:color="auto" w:sz="4" w:space="0"/>
            </w:tcBorders>
            <w:shd w:val="clear" w:color="auto" w:fill="auto"/>
            <w:vAlign w:val="center"/>
          </w:tcPr>
          <w:p w14:paraId="50987F0B">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15.3</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3E3D559E">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年均增长不低于10%</w:t>
            </w:r>
          </w:p>
        </w:tc>
        <w:tc>
          <w:tcPr>
            <w:tcW w:w="1174" w:type="dxa"/>
            <w:tcBorders>
              <w:top w:val="nil"/>
              <w:left w:val="nil"/>
              <w:bottom w:val="single" w:color="auto" w:sz="4" w:space="0"/>
              <w:right w:val="single" w:color="auto" w:sz="4" w:space="0"/>
            </w:tcBorders>
            <w:shd w:val="clear" w:color="auto" w:fill="auto"/>
            <w:vAlign w:val="center"/>
          </w:tcPr>
          <w:p w14:paraId="58861CD2">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67350BB2">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11C4793D">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054C7DEF">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5</w:t>
            </w:r>
          </w:p>
        </w:tc>
        <w:tc>
          <w:tcPr>
            <w:tcW w:w="3194" w:type="dxa"/>
            <w:tcBorders>
              <w:top w:val="nil"/>
              <w:left w:val="nil"/>
              <w:bottom w:val="single" w:color="auto" w:sz="4" w:space="0"/>
              <w:right w:val="single" w:color="auto" w:sz="4" w:space="0"/>
            </w:tcBorders>
            <w:shd w:val="clear" w:color="auto" w:fill="auto"/>
            <w:vAlign w:val="center"/>
          </w:tcPr>
          <w:p w14:paraId="57EE1C2B">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服务业增加值占GDP比重（%）</w:t>
            </w:r>
          </w:p>
        </w:tc>
        <w:tc>
          <w:tcPr>
            <w:tcW w:w="1416" w:type="dxa"/>
            <w:tcBorders>
              <w:top w:val="nil"/>
              <w:left w:val="nil"/>
              <w:bottom w:val="single" w:color="auto" w:sz="4" w:space="0"/>
              <w:right w:val="single" w:color="auto" w:sz="4" w:space="0"/>
            </w:tcBorders>
            <w:shd w:val="clear" w:color="auto" w:fill="auto"/>
            <w:vAlign w:val="center"/>
          </w:tcPr>
          <w:p w14:paraId="0CF99336">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63.</w:t>
            </w:r>
            <w:r>
              <w:rPr>
                <w:rFonts w:hint="eastAsia" w:ascii="Times New Roman" w:hAnsi="Times New Roman" w:eastAsia="方正仿宋简体" w:cs="Times New Roman"/>
                <w:color w:val="000000"/>
              </w:rPr>
              <w:t>77</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3C4326DD">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68</w:t>
            </w:r>
          </w:p>
        </w:tc>
        <w:tc>
          <w:tcPr>
            <w:tcW w:w="1174" w:type="dxa"/>
            <w:tcBorders>
              <w:top w:val="nil"/>
              <w:left w:val="nil"/>
              <w:bottom w:val="single" w:color="auto" w:sz="4" w:space="0"/>
              <w:right w:val="single" w:color="auto" w:sz="4" w:space="0"/>
            </w:tcBorders>
            <w:shd w:val="clear" w:color="auto" w:fill="auto"/>
            <w:vAlign w:val="center"/>
          </w:tcPr>
          <w:p w14:paraId="5A228E33">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3C54A19C">
        <w:tblPrEx>
          <w:tblCellMar>
            <w:top w:w="0" w:type="dxa"/>
            <w:left w:w="108" w:type="dxa"/>
            <w:bottom w:w="0" w:type="dxa"/>
            <w:right w:w="108" w:type="dxa"/>
          </w:tblCellMar>
        </w:tblPrEx>
        <w:trPr>
          <w:trHeight w:val="850" w:hRule="atLeast"/>
        </w:trPr>
        <w:tc>
          <w:tcPr>
            <w:tcW w:w="457" w:type="dxa"/>
            <w:vMerge w:val="continue"/>
            <w:tcBorders>
              <w:top w:val="nil"/>
              <w:left w:val="single" w:color="auto" w:sz="4" w:space="0"/>
              <w:bottom w:val="single" w:color="auto" w:sz="4" w:space="0"/>
              <w:right w:val="single" w:color="auto" w:sz="4" w:space="0"/>
            </w:tcBorders>
            <w:vAlign w:val="center"/>
          </w:tcPr>
          <w:p w14:paraId="6D09C1EE">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0CCF4422">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6</w:t>
            </w:r>
          </w:p>
        </w:tc>
        <w:tc>
          <w:tcPr>
            <w:tcW w:w="3194" w:type="dxa"/>
            <w:tcBorders>
              <w:top w:val="nil"/>
              <w:left w:val="nil"/>
              <w:bottom w:val="single" w:color="auto" w:sz="4" w:space="0"/>
              <w:right w:val="single" w:color="auto" w:sz="4" w:space="0"/>
            </w:tcBorders>
            <w:shd w:val="clear" w:color="auto" w:fill="auto"/>
            <w:vAlign w:val="center"/>
          </w:tcPr>
          <w:p w14:paraId="5A8FFDB9">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规模以上工业全员劳动生产率（万元/人）</w:t>
            </w:r>
          </w:p>
        </w:tc>
        <w:tc>
          <w:tcPr>
            <w:tcW w:w="1416" w:type="dxa"/>
            <w:tcBorders>
              <w:top w:val="nil"/>
              <w:left w:val="nil"/>
              <w:bottom w:val="single" w:color="auto" w:sz="4" w:space="0"/>
              <w:right w:val="single" w:color="auto" w:sz="4" w:space="0"/>
            </w:tcBorders>
            <w:shd w:val="clear" w:color="auto" w:fill="auto"/>
            <w:vAlign w:val="center"/>
          </w:tcPr>
          <w:p w14:paraId="75C4CBF5">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30.5</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61AC1958">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40</w:t>
            </w:r>
          </w:p>
        </w:tc>
        <w:tc>
          <w:tcPr>
            <w:tcW w:w="1174" w:type="dxa"/>
            <w:tcBorders>
              <w:top w:val="nil"/>
              <w:left w:val="nil"/>
              <w:bottom w:val="single" w:color="auto" w:sz="4" w:space="0"/>
              <w:right w:val="single" w:color="auto" w:sz="4" w:space="0"/>
            </w:tcBorders>
            <w:shd w:val="clear" w:color="auto" w:fill="auto"/>
            <w:vAlign w:val="center"/>
          </w:tcPr>
          <w:p w14:paraId="0F2632EB">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1823E4A1">
        <w:tblPrEx>
          <w:tblCellMar>
            <w:top w:w="0" w:type="dxa"/>
            <w:left w:w="108" w:type="dxa"/>
            <w:bottom w:w="0" w:type="dxa"/>
            <w:right w:w="108" w:type="dxa"/>
          </w:tblCellMar>
        </w:tblPrEx>
        <w:trPr>
          <w:trHeight w:val="567" w:hRule="atLeast"/>
        </w:trPr>
        <w:tc>
          <w:tcPr>
            <w:tcW w:w="457" w:type="dxa"/>
            <w:vMerge w:val="restart"/>
            <w:tcBorders>
              <w:top w:val="nil"/>
              <w:left w:val="single" w:color="auto" w:sz="4" w:space="0"/>
              <w:bottom w:val="single" w:color="auto" w:sz="4" w:space="0"/>
              <w:right w:val="single" w:color="auto" w:sz="4" w:space="0"/>
            </w:tcBorders>
            <w:shd w:val="clear" w:color="auto" w:fill="auto"/>
            <w:vAlign w:val="center"/>
          </w:tcPr>
          <w:p w14:paraId="185EAF41">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创新驱动</w:t>
            </w:r>
          </w:p>
        </w:tc>
        <w:tc>
          <w:tcPr>
            <w:tcW w:w="696" w:type="dxa"/>
            <w:tcBorders>
              <w:top w:val="nil"/>
              <w:left w:val="nil"/>
              <w:bottom w:val="single" w:color="auto" w:sz="4" w:space="0"/>
              <w:right w:val="single" w:color="auto" w:sz="4" w:space="0"/>
            </w:tcBorders>
            <w:shd w:val="clear" w:color="auto" w:fill="auto"/>
            <w:vAlign w:val="center"/>
          </w:tcPr>
          <w:p w14:paraId="6053FB54">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7</w:t>
            </w:r>
          </w:p>
        </w:tc>
        <w:tc>
          <w:tcPr>
            <w:tcW w:w="3194" w:type="dxa"/>
            <w:tcBorders>
              <w:top w:val="nil"/>
              <w:left w:val="nil"/>
              <w:bottom w:val="single" w:color="auto" w:sz="4" w:space="0"/>
              <w:right w:val="single" w:color="auto" w:sz="4" w:space="0"/>
            </w:tcBorders>
            <w:shd w:val="clear" w:color="auto" w:fill="auto"/>
            <w:vAlign w:val="center"/>
          </w:tcPr>
          <w:p w14:paraId="47C30934">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R＆D经费支出占GDP比重（%）</w:t>
            </w:r>
          </w:p>
        </w:tc>
        <w:tc>
          <w:tcPr>
            <w:tcW w:w="1416" w:type="dxa"/>
            <w:tcBorders>
              <w:top w:val="nil"/>
              <w:left w:val="nil"/>
              <w:bottom w:val="single" w:color="auto" w:sz="4" w:space="0"/>
              <w:right w:val="single" w:color="auto" w:sz="4" w:space="0"/>
            </w:tcBorders>
            <w:shd w:val="clear" w:color="auto" w:fill="auto"/>
            <w:vAlign w:val="center"/>
          </w:tcPr>
          <w:p w14:paraId="3418D561">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0.82</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58C85A4E">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2</w:t>
            </w:r>
          </w:p>
        </w:tc>
        <w:tc>
          <w:tcPr>
            <w:tcW w:w="1174" w:type="dxa"/>
            <w:tcBorders>
              <w:top w:val="nil"/>
              <w:left w:val="nil"/>
              <w:bottom w:val="single" w:color="auto" w:sz="4" w:space="0"/>
              <w:right w:val="single" w:color="auto" w:sz="4" w:space="0"/>
            </w:tcBorders>
            <w:shd w:val="clear" w:color="auto" w:fill="auto"/>
            <w:vAlign w:val="center"/>
          </w:tcPr>
          <w:p w14:paraId="3B9BA027">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62941635">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2F4B7F34">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21475E98">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8</w:t>
            </w:r>
          </w:p>
        </w:tc>
        <w:tc>
          <w:tcPr>
            <w:tcW w:w="3194" w:type="dxa"/>
            <w:tcBorders>
              <w:top w:val="nil"/>
              <w:left w:val="nil"/>
              <w:bottom w:val="single" w:color="auto" w:sz="4" w:space="0"/>
              <w:right w:val="single" w:color="auto" w:sz="4" w:space="0"/>
            </w:tcBorders>
            <w:shd w:val="clear" w:color="auto" w:fill="auto"/>
            <w:vAlign w:val="center"/>
          </w:tcPr>
          <w:p w14:paraId="0352EE02">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每万人口发明专利拥有量（件）</w:t>
            </w:r>
          </w:p>
        </w:tc>
        <w:tc>
          <w:tcPr>
            <w:tcW w:w="1416" w:type="dxa"/>
            <w:tcBorders>
              <w:top w:val="nil"/>
              <w:left w:val="nil"/>
              <w:bottom w:val="single" w:color="auto" w:sz="4" w:space="0"/>
              <w:right w:val="single" w:color="auto" w:sz="4" w:space="0"/>
            </w:tcBorders>
            <w:shd w:val="clear" w:color="auto" w:fill="auto"/>
            <w:vAlign w:val="center"/>
          </w:tcPr>
          <w:p w14:paraId="29395BB4">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12.95</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4FDAEA6D">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15</w:t>
            </w:r>
          </w:p>
        </w:tc>
        <w:tc>
          <w:tcPr>
            <w:tcW w:w="1174" w:type="dxa"/>
            <w:tcBorders>
              <w:top w:val="nil"/>
              <w:left w:val="nil"/>
              <w:bottom w:val="single" w:color="auto" w:sz="4" w:space="0"/>
              <w:right w:val="single" w:color="auto" w:sz="4" w:space="0"/>
            </w:tcBorders>
            <w:shd w:val="clear" w:color="auto" w:fill="auto"/>
            <w:vAlign w:val="center"/>
          </w:tcPr>
          <w:p w14:paraId="0CDC3B11">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76C17CFD">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6DBB4E44">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03114149">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9</w:t>
            </w:r>
          </w:p>
        </w:tc>
        <w:tc>
          <w:tcPr>
            <w:tcW w:w="3194" w:type="dxa"/>
            <w:tcBorders>
              <w:top w:val="nil"/>
              <w:left w:val="nil"/>
              <w:bottom w:val="single" w:color="auto" w:sz="4" w:space="0"/>
              <w:right w:val="single" w:color="auto" w:sz="4" w:space="0"/>
            </w:tcBorders>
            <w:shd w:val="clear" w:color="auto" w:fill="auto"/>
            <w:vAlign w:val="center"/>
          </w:tcPr>
          <w:p w14:paraId="56C2454B">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省级以上高新技术企业（家）</w:t>
            </w:r>
          </w:p>
        </w:tc>
        <w:tc>
          <w:tcPr>
            <w:tcW w:w="1416" w:type="dxa"/>
            <w:tcBorders>
              <w:top w:val="nil"/>
              <w:left w:val="nil"/>
              <w:bottom w:val="single" w:color="auto" w:sz="4" w:space="0"/>
              <w:right w:val="single" w:color="auto" w:sz="4" w:space="0"/>
            </w:tcBorders>
            <w:shd w:val="clear" w:color="auto" w:fill="auto"/>
            <w:vAlign w:val="center"/>
          </w:tcPr>
          <w:p w14:paraId="44648354">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81</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5AF208A7">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150</w:t>
            </w:r>
          </w:p>
        </w:tc>
        <w:tc>
          <w:tcPr>
            <w:tcW w:w="1174" w:type="dxa"/>
            <w:tcBorders>
              <w:top w:val="nil"/>
              <w:left w:val="nil"/>
              <w:bottom w:val="single" w:color="auto" w:sz="4" w:space="0"/>
              <w:right w:val="single" w:color="auto" w:sz="4" w:space="0"/>
            </w:tcBorders>
            <w:shd w:val="clear" w:color="auto" w:fill="auto"/>
            <w:vAlign w:val="center"/>
          </w:tcPr>
          <w:p w14:paraId="1C9ED0CE">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66C0CC73">
        <w:tblPrEx>
          <w:tblCellMar>
            <w:top w:w="0" w:type="dxa"/>
            <w:left w:w="108" w:type="dxa"/>
            <w:bottom w:w="0" w:type="dxa"/>
            <w:right w:w="108" w:type="dxa"/>
          </w:tblCellMar>
        </w:tblPrEx>
        <w:trPr>
          <w:trHeight w:val="680" w:hRule="atLeast"/>
        </w:trPr>
        <w:tc>
          <w:tcPr>
            <w:tcW w:w="457" w:type="dxa"/>
            <w:vMerge w:val="continue"/>
            <w:tcBorders>
              <w:top w:val="nil"/>
              <w:left w:val="single" w:color="auto" w:sz="4" w:space="0"/>
              <w:bottom w:val="single" w:color="auto" w:sz="4" w:space="0"/>
              <w:right w:val="single" w:color="auto" w:sz="4" w:space="0"/>
            </w:tcBorders>
            <w:vAlign w:val="center"/>
          </w:tcPr>
          <w:p w14:paraId="3E924EA0">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7585E230">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1</w:t>
            </w:r>
            <w:r>
              <w:rPr>
                <w:rFonts w:hint="eastAsia" w:ascii="Times New Roman" w:hAnsi="Times New Roman" w:eastAsia="方正仿宋简体" w:cs="Times New Roman"/>
                <w:color w:val="000000"/>
              </w:rPr>
              <w:t>0</w:t>
            </w:r>
          </w:p>
        </w:tc>
        <w:tc>
          <w:tcPr>
            <w:tcW w:w="3194" w:type="dxa"/>
            <w:tcBorders>
              <w:top w:val="nil"/>
              <w:left w:val="nil"/>
              <w:bottom w:val="single" w:color="auto" w:sz="4" w:space="0"/>
              <w:right w:val="single" w:color="auto" w:sz="4" w:space="0"/>
            </w:tcBorders>
            <w:shd w:val="clear" w:color="auto" w:fill="auto"/>
            <w:vAlign w:val="center"/>
          </w:tcPr>
          <w:p w14:paraId="7AAFAD25">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高新技术产业产值占全区规模以上工业产值比重（%）</w:t>
            </w:r>
          </w:p>
        </w:tc>
        <w:tc>
          <w:tcPr>
            <w:tcW w:w="1416" w:type="dxa"/>
            <w:tcBorders>
              <w:top w:val="nil"/>
              <w:left w:val="nil"/>
              <w:bottom w:val="single" w:color="auto" w:sz="4" w:space="0"/>
              <w:right w:val="single" w:color="auto" w:sz="4" w:space="0"/>
            </w:tcBorders>
            <w:shd w:val="clear" w:color="auto" w:fill="auto"/>
            <w:vAlign w:val="center"/>
          </w:tcPr>
          <w:p w14:paraId="566B5133">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4</w:t>
            </w:r>
            <w:r>
              <w:rPr>
                <w:rFonts w:hint="eastAsia" w:ascii="Times New Roman" w:hAnsi="Times New Roman" w:eastAsia="方正仿宋简体" w:cs="Times New Roman"/>
                <w:color w:val="000000"/>
              </w:rPr>
              <w:t>1</w:t>
            </w:r>
            <w:r>
              <w:rPr>
                <w:rFonts w:ascii="Times New Roman" w:hAnsi="Times New Roman" w:eastAsia="方正仿宋简体" w:cs="Times New Roman"/>
                <w:color w:val="000000"/>
              </w:rPr>
              <w:t>.4</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56789B74">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50</w:t>
            </w:r>
          </w:p>
        </w:tc>
        <w:tc>
          <w:tcPr>
            <w:tcW w:w="1174" w:type="dxa"/>
            <w:tcBorders>
              <w:top w:val="nil"/>
              <w:left w:val="nil"/>
              <w:bottom w:val="single" w:color="auto" w:sz="4" w:space="0"/>
              <w:right w:val="single" w:color="auto" w:sz="4" w:space="0"/>
            </w:tcBorders>
            <w:shd w:val="clear" w:color="auto" w:fill="auto"/>
            <w:vAlign w:val="center"/>
          </w:tcPr>
          <w:p w14:paraId="52CB3185">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349DE932">
        <w:tblPrEx>
          <w:tblCellMar>
            <w:top w:w="0" w:type="dxa"/>
            <w:left w:w="108" w:type="dxa"/>
            <w:bottom w:w="0" w:type="dxa"/>
            <w:right w:w="108" w:type="dxa"/>
          </w:tblCellMar>
        </w:tblPrEx>
        <w:trPr>
          <w:trHeight w:val="567" w:hRule="atLeast"/>
        </w:trPr>
        <w:tc>
          <w:tcPr>
            <w:tcW w:w="457" w:type="dxa"/>
            <w:vMerge w:val="restart"/>
            <w:tcBorders>
              <w:top w:val="nil"/>
              <w:left w:val="single" w:color="auto" w:sz="4" w:space="0"/>
              <w:bottom w:val="single" w:color="auto" w:sz="4" w:space="0"/>
              <w:right w:val="single" w:color="auto" w:sz="4" w:space="0"/>
            </w:tcBorders>
            <w:shd w:val="clear" w:color="auto" w:fill="auto"/>
            <w:vAlign w:val="center"/>
          </w:tcPr>
          <w:p w14:paraId="0F0BCC14">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开放发展</w:t>
            </w:r>
          </w:p>
        </w:tc>
        <w:tc>
          <w:tcPr>
            <w:tcW w:w="696" w:type="dxa"/>
            <w:tcBorders>
              <w:top w:val="nil"/>
              <w:left w:val="nil"/>
              <w:bottom w:val="single" w:color="auto" w:sz="4" w:space="0"/>
              <w:right w:val="single" w:color="auto" w:sz="4" w:space="0"/>
            </w:tcBorders>
            <w:shd w:val="clear" w:color="auto" w:fill="auto"/>
            <w:vAlign w:val="center"/>
          </w:tcPr>
          <w:p w14:paraId="4C3F480E">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1</w:t>
            </w:r>
            <w:r>
              <w:rPr>
                <w:rFonts w:hint="eastAsia" w:ascii="Times New Roman" w:hAnsi="Times New Roman" w:eastAsia="方正仿宋简体" w:cs="Times New Roman"/>
                <w:color w:val="000000"/>
              </w:rPr>
              <w:t>1</w:t>
            </w:r>
          </w:p>
        </w:tc>
        <w:tc>
          <w:tcPr>
            <w:tcW w:w="3194" w:type="dxa"/>
            <w:tcBorders>
              <w:top w:val="nil"/>
              <w:left w:val="nil"/>
              <w:bottom w:val="single" w:color="auto" w:sz="4" w:space="0"/>
              <w:right w:val="single" w:color="auto" w:sz="4" w:space="0"/>
            </w:tcBorders>
            <w:shd w:val="clear" w:color="auto" w:fill="auto"/>
            <w:vAlign w:val="center"/>
          </w:tcPr>
          <w:p w14:paraId="1625F2D2">
            <w:pPr>
              <w:widowControl w:val="0"/>
              <w:spacing w:line="300" w:lineRule="exact"/>
              <w:rPr>
                <w:rFonts w:ascii="Times New Roman" w:hAnsi="Times New Roman" w:eastAsia="方正仿宋简体" w:cs="Times New Roman"/>
                <w:color w:val="000000"/>
              </w:rPr>
            </w:pPr>
            <w:r>
              <w:rPr>
                <w:rFonts w:hint="eastAsia" w:ascii="Times New Roman" w:hAnsi="Times New Roman" w:eastAsia="方正仿宋简体" w:cs="Times New Roman"/>
                <w:color w:val="000000"/>
              </w:rPr>
              <w:t>社会消费品零售总额（亿元）</w:t>
            </w:r>
          </w:p>
        </w:tc>
        <w:tc>
          <w:tcPr>
            <w:tcW w:w="1416" w:type="dxa"/>
            <w:tcBorders>
              <w:top w:val="nil"/>
              <w:left w:val="nil"/>
              <w:bottom w:val="single" w:color="auto" w:sz="4" w:space="0"/>
              <w:right w:val="single" w:color="auto" w:sz="4" w:space="0"/>
            </w:tcBorders>
            <w:shd w:val="clear" w:color="auto" w:fill="auto"/>
            <w:vAlign w:val="center"/>
          </w:tcPr>
          <w:p w14:paraId="78670A8D">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235.55</w:t>
            </w:r>
          </w:p>
        </w:tc>
        <w:tc>
          <w:tcPr>
            <w:tcW w:w="2278" w:type="dxa"/>
            <w:gridSpan w:val="2"/>
            <w:tcBorders>
              <w:top w:val="nil"/>
              <w:left w:val="nil"/>
              <w:bottom w:val="single" w:color="auto" w:sz="4" w:space="0"/>
              <w:right w:val="single" w:color="auto" w:sz="4" w:space="0"/>
            </w:tcBorders>
            <w:shd w:val="clear" w:color="auto" w:fill="auto"/>
            <w:vAlign w:val="center"/>
          </w:tcPr>
          <w:p w14:paraId="4347D021">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7%</w:t>
            </w:r>
          </w:p>
        </w:tc>
        <w:tc>
          <w:tcPr>
            <w:tcW w:w="1174" w:type="dxa"/>
            <w:tcBorders>
              <w:top w:val="nil"/>
              <w:left w:val="nil"/>
              <w:bottom w:val="single" w:color="auto" w:sz="4" w:space="0"/>
              <w:right w:val="single" w:color="auto" w:sz="4" w:space="0"/>
            </w:tcBorders>
            <w:shd w:val="clear" w:color="auto" w:fill="auto"/>
            <w:vAlign w:val="center"/>
          </w:tcPr>
          <w:p w14:paraId="3806D4FB">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0DCCC39A">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3C1AE076">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7D9D21AC">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1</w:t>
            </w:r>
            <w:r>
              <w:rPr>
                <w:rFonts w:hint="eastAsia" w:ascii="Times New Roman" w:hAnsi="Times New Roman" w:eastAsia="方正仿宋简体" w:cs="Times New Roman"/>
                <w:color w:val="000000"/>
              </w:rPr>
              <w:t>2</w:t>
            </w:r>
          </w:p>
        </w:tc>
        <w:tc>
          <w:tcPr>
            <w:tcW w:w="3194" w:type="dxa"/>
            <w:tcBorders>
              <w:top w:val="nil"/>
              <w:left w:val="nil"/>
              <w:bottom w:val="single" w:color="auto" w:sz="4" w:space="0"/>
              <w:right w:val="single" w:color="auto" w:sz="4" w:space="0"/>
            </w:tcBorders>
            <w:shd w:val="clear" w:color="auto" w:fill="auto"/>
            <w:vAlign w:val="center"/>
          </w:tcPr>
          <w:p w14:paraId="52F27C43">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实际利用外资额（万元）</w:t>
            </w:r>
          </w:p>
        </w:tc>
        <w:tc>
          <w:tcPr>
            <w:tcW w:w="1416" w:type="dxa"/>
            <w:tcBorders>
              <w:top w:val="nil"/>
              <w:left w:val="nil"/>
              <w:bottom w:val="single" w:color="auto" w:sz="4" w:space="0"/>
              <w:right w:val="single" w:color="auto" w:sz="4" w:space="0"/>
            </w:tcBorders>
            <w:shd w:val="clear" w:color="auto" w:fill="auto"/>
            <w:vAlign w:val="center"/>
          </w:tcPr>
          <w:p w14:paraId="10BAD56A">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1488</w:t>
            </w:r>
          </w:p>
        </w:tc>
        <w:tc>
          <w:tcPr>
            <w:tcW w:w="2278" w:type="dxa"/>
            <w:gridSpan w:val="2"/>
            <w:tcBorders>
              <w:top w:val="nil"/>
              <w:left w:val="nil"/>
              <w:bottom w:val="single" w:color="auto" w:sz="4" w:space="0"/>
              <w:right w:val="single" w:color="auto" w:sz="4" w:space="0"/>
            </w:tcBorders>
            <w:shd w:val="clear" w:color="auto" w:fill="auto"/>
            <w:vAlign w:val="center"/>
          </w:tcPr>
          <w:p w14:paraId="0FAE18D2">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5%</w:t>
            </w:r>
          </w:p>
        </w:tc>
        <w:tc>
          <w:tcPr>
            <w:tcW w:w="1174" w:type="dxa"/>
            <w:tcBorders>
              <w:top w:val="nil"/>
              <w:left w:val="nil"/>
              <w:bottom w:val="single" w:color="auto" w:sz="4" w:space="0"/>
              <w:right w:val="single" w:color="auto" w:sz="4" w:space="0"/>
            </w:tcBorders>
            <w:shd w:val="clear" w:color="auto" w:fill="auto"/>
            <w:vAlign w:val="center"/>
          </w:tcPr>
          <w:p w14:paraId="12BB25F1">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10A4FC02">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76961CCF">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1EF50A04">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1</w:t>
            </w:r>
            <w:r>
              <w:rPr>
                <w:rFonts w:hint="eastAsia" w:ascii="Times New Roman" w:hAnsi="Times New Roman" w:eastAsia="方正仿宋简体" w:cs="Times New Roman"/>
                <w:color w:val="000000"/>
              </w:rPr>
              <w:t>3</w:t>
            </w:r>
          </w:p>
        </w:tc>
        <w:tc>
          <w:tcPr>
            <w:tcW w:w="3194" w:type="dxa"/>
            <w:tcBorders>
              <w:top w:val="nil"/>
              <w:left w:val="nil"/>
              <w:bottom w:val="single" w:color="auto" w:sz="4" w:space="0"/>
              <w:right w:val="single" w:color="auto" w:sz="4" w:space="0"/>
            </w:tcBorders>
            <w:shd w:val="clear" w:color="auto" w:fill="auto"/>
            <w:vAlign w:val="center"/>
          </w:tcPr>
          <w:p w14:paraId="0CC0EDEC">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出口商品总值（亿元）</w:t>
            </w:r>
          </w:p>
        </w:tc>
        <w:tc>
          <w:tcPr>
            <w:tcW w:w="1416" w:type="dxa"/>
            <w:tcBorders>
              <w:top w:val="nil"/>
              <w:left w:val="nil"/>
              <w:bottom w:val="single" w:color="auto" w:sz="4" w:space="0"/>
              <w:right w:val="single" w:color="auto" w:sz="4" w:space="0"/>
            </w:tcBorders>
            <w:shd w:val="clear" w:color="auto" w:fill="auto"/>
            <w:vAlign w:val="center"/>
          </w:tcPr>
          <w:p w14:paraId="70AAF0D2">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w:t>
            </w:r>
          </w:p>
        </w:tc>
        <w:tc>
          <w:tcPr>
            <w:tcW w:w="2278" w:type="dxa"/>
            <w:gridSpan w:val="2"/>
            <w:tcBorders>
              <w:top w:val="nil"/>
              <w:left w:val="nil"/>
              <w:bottom w:val="single" w:color="auto" w:sz="4" w:space="0"/>
              <w:right w:val="single" w:color="auto" w:sz="4" w:space="0"/>
            </w:tcBorders>
            <w:shd w:val="clear" w:color="auto" w:fill="auto"/>
            <w:vAlign w:val="center"/>
          </w:tcPr>
          <w:p w14:paraId="0A66941E">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5%</w:t>
            </w:r>
          </w:p>
        </w:tc>
        <w:tc>
          <w:tcPr>
            <w:tcW w:w="1174" w:type="dxa"/>
            <w:tcBorders>
              <w:top w:val="nil"/>
              <w:left w:val="nil"/>
              <w:bottom w:val="single" w:color="auto" w:sz="4" w:space="0"/>
              <w:right w:val="single" w:color="auto" w:sz="4" w:space="0"/>
            </w:tcBorders>
            <w:shd w:val="clear" w:color="auto" w:fill="auto"/>
            <w:vAlign w:val="center"/>
          </w:tcPr>
          <w:p w14:paraId="18E758F5">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41E239CF">
        <w:tblPrEx>
          <w:tblCellMar>
            <w:top w:w="0" w:type="dxa"/>
            <w:left w:w="108" w:type="dxa"/>
            <w:bottom w:w="0" w:type="dxa"/>
            <w:right w:w="108" w:type="dxa"/>
          </w:tblCellMar>
        </w:tblPrEx>
        <w:trPr>
          <w:trHeight w:val="567" w:hRule="atLeast"/>
        </w:trPr>
        <w:tc>
          <w:tcPr>
            <w:tcW w:w="457" w:type="dxa"/>
            <w:vMerge w:val="restart"/>
            <w:tcBorders>
              <w:top w:val="nil"/>
              <w:left w:val="single" w:color="auto" w:sz="4" w:space="0"/>
              <w:bottom w:val="single" w:color="auto" w:sz="4" w:space="0"/>
              <w:right w:val="single" w:color="auto" w:sz="4" w:space="0"/>
            </w:tcBorders>
            <w:shd w:val="clear" w:color="auto" w:fill="auto"/>
            <w:vAlign w:val="center"/>
          </w:tcPr>
          <w:p w14:paraId="26C49E0E">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文化引领</w:t>
            </w:r>
          </w:p>
        </w:tc>
        <w:tc>
          <w:tcPr>
            <w:tcW w:w="696" w:type="dxa"/>
            <w:tcBorders>
              <w:top w:val="nil"/>
              <w:left w:val="nil"/>
              <w:bottom w:val="single" w:color="auto" w:sz="4" w:space="0"/>
              <w:right w:val="single" w:color="auto" w:sz="4" w:space="0"/>
            </w:tcBorders>
            <w:shd w:val="clear" w:color="auto" w:fill="auto"/>
            <w:vAlign w:val="center"/>
          </w:tcPr>
          <w:p w14:paraId="7546C31C">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1</w:t>
            </w:r>
            <w:r>
              <w:rPr>
                <w:rFonts w:hint="eastAsia" w:ascii="Times New Roman" w:hAnsi="Times New Roman" w:eastAsia="方正仿宋简体" w:cs="Times New Roman"/>
                <w:color w:val="000000"/>
              </w:rPr>
              <w:t>4</w:t>
            </w:r>
          </w:p>
        </w:tc>
        <w:tc>
          <w:tcPr>
            <w:tcW w:w="3194" w:type="dxa"/>
            <w:tcBorders>
              <w:top w:val="nil"/>
              <w:left w:val="nil"/>
              <w:bottom w:val="single" w:color="auto" w:sz="4" w:space="0"/>
              <w:right w:val="single" w:color="auto" w:sz="4" w:space="0"/>
            </w:tcBorders>
            <w:shd w:val="clear" w:color="auto" w:fill="auto"/>
            <w:vAlign w:val="center"/>
          </w:tcPr>
          <w:p w14:paraId="1242FB89">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旅游业总收入（亿元）</w:t>
            </w:r>
          </w:p>
        </w:tc>
        <w:tc>
          <w:tcPr>
            <w:tcW w:w="1416" w:type="dxa"/>
            <w:tcBorders>
              <w:top w:val="nil"/>
              <w:left w:val="nil"/>
              <w:bottom w:val="single" w:color="auto" w:sz="4" w:space="0"/>
              <w:right w:val="single" w:color="auto" w:sz="4" w:space="0"/>
            </w:tcBorders>
            <w:shd w:val="clear" w:color="auto" w:fill="auto"/>
            <w:vAlign w:val="center"/>
          </w:tcPr>
          <w:p w14:paraId="0765A0F2">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68.19</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2B7BD851">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350</w:t>
            </w:r>
          </w:p>
        </w:tc>
        <w:tc>
          <w:tcPr>
            <w:tcW w:w="1174" w:type="dxa"/>
            <w:tcBorders>
              <w:top w:val="nil"/>
              <w:left w:val="nil"/>
              <w:bottom w:val="single" w:color="auto" w:sz="4" w:space="0"/>
              <w:right w:val="single" w:color="auto" w:sz="4" w:space="0"/>
            </w:tcBorders>
            <w:shd w:val="clear" w:color="auto" w:fill="auto"/>
            <w:vAlign w:val="center"/>
          </w:tcPr>
          <w:p w14:paraId="5EC8ED2D">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6043D555">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1AF6B9D2">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17F1B71C">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1</w:t>
            </w:r>
            <w:r>
              <w:rPr>
                <w:rFonts w:hint="eastAsia" w:ascii="Times New Roman" w:hAnsi="Times New Roman" w:eastAsia="方正仿宋简体" w:cs="Times New Roman"/>
                <w:color w:val="000000"/>
              </w:rPr>
              <w:t>5</w:t>
            </w:r>
          </w:p>
        </w:tc>
        <w:tc>
          <w:tcPr>
            <w:tcW w:w="3194" w:type="dxa"/>
            <w:tcBorders>
              <w:top w:val="nil"/>
              <w:left w:val="nil"/>
              <w:bottom w:val="single" w:color="auto" w:sz="4" w:space="0"/>
              <w:right w:val="single" w:color="auto" w:sz="4" w:space="0"/>
            </w:tcBorders>
            <w:shd w:val="clear" w:color="auto" w:fill="auto"/>
            <w:vAlign w:val="center"/>
          </w:tcPr>
          <w:p w14:paraId="7A71EF96">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年接待游客总量（万人次）</w:t>
            </w:r>
          </w:p>
        </w:tc>
        <w:tc>
          <w:tcPr>
            <w:tcW w:w="1416" w:type="dxa"/>
            <w:tcBorders>
              <w:top w:val="nil"/>
              <w:left w:val="nil"/>
              <w:bottom w:val="single" w:color="auto" w:sz="4" w:space="0"/>
              <w:right w:val="single" w:color="auto" w:sz="4" w:space="0"/>
            </w:tcBorders>
            <w:shd w:val="clear" w:color="auto" w:fill="auto"/>
            <w:vAlign w:val="center"/>
          </w:tcPr>
          <w:p w14:paraId="05366101">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558.16</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67B2B403">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1200</w:t>
            </w:r>
          </w:p>
        </w:tc>
        <w:tc>
          <w:tcPr>
            <w:tcW w:w="1174" w:type="dxa"/>
            <w:tcBorders>
              <w:top w:val="nil"/>
              <w:left w:val="nil"/>
              <w:bottom w:val="single" w:color="auto" w:sz="4" w:space="0"/>
              <w:right w:val="single" w:color="auto" w:sz="4" w:space="0"/>
            </w:tcBorders>
            <w:shd w:val="clear" w:color="auto" w:fill="auto"/>
            <w:vAlign w:val="center"/>
          </w:tcPr>
          <w:p w14:paraId="75FCC3E1">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4526C96C">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10405123">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32BED631">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1</w:t>
            </w:r>
            <w:r>
              <w:rPr>
                <w:rFonts w:hint="eastAsia" w:ascii="Times New Roman" w:hAnsi="Times New Roman" w:eastAsia="方正仿宋简体" w:cs="Times New Roman"/>
                <w:color w:val="000000"/>
              </w:rPr>
              <w:t>6</w:t>
            </w:r>
          </w:p>
        </w:tc>
        <w:tc>
          <w:tcPr>
            <w:tcW w:w="3194" w:type="dxa"/>
            <w:tcBorders>
              <w:top w:val="nil"/>
              <w:left w:val="nil"/>
              <w:bottom w:val="single" w:color="auto" w:sz="4" w:space="0"/>
              <w:right w:val="single" w:color="auto" w:sz="4" w:space="0"/>
            </w:tcBorders>
            <w:shd w:val="clear" w:color="auto" w:fill="auto"/>
            <w:vAlign w:val="center"/>
          </w:tcPr>
          <w:p w14:paraId="70A5529E">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省级以上文化产业示范基地（家）</w:t>
            </w:r>
          </w:p>
        </w:tc>
        <w:tc>
          <w:tcPr>
            <w:tcW w:w="1416" w:type="dxa"/>
            <w:tcBorders>
              <w:top w:val="nil"/>
              <w:left w:val="nil"/>
              <w:bottom w:val="single" w:color="auto" w:sz="4" w:space="0"/>
              <w:right w:val="single" w:color="auto" w:sz="4" w:space="0"/>
            </w:tcBorders>
            <w:shd w:val="clear" w:color="auto" w:fill="auto"/>
            <w:vAlign w:val="center"/>
          </w:tcPr>
          <w:p w14:paraId="782CAF4A">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3</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1C263491">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5</w:t>
            </w:r>
          </w:p>
        </w:tc>
        <w:tc>
          <w:tcPr>
            <w:tcW w:w="1174" w:type="dxa"/>
            <w:tcBorders>
              <w:top w:val="nil"/>
              <w:left w:val="nil"/>
              <w:bottom w:val="single" w:color="auto" w:sz="4" w:space="0"/>
              <w:right w:val="single" w:color="auto" w:sz="4" w:space="0"/>
            </w:tcBorders>
            <w:shd w:val="clear" w:color="auto" w:fill="auto"/>
            <w:vAlign w:val="center"/>
          </w:tcPr>
          <w:p w14:paraId="41010535">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464D2E25">
        <w:tblPrEx>
          <w:tblCellMar>
            <w:top w:w="0" w:type="dxa"/>
            <w:left w:w="108" w:type="dxa"/>
            <w:bottom w:w="0" w:type="dxa"/>
            <w:right w:w="108" w:type="dxa"/>
          </w:tblCellMar>
        </w:tblPrEx>
        <w:trPr>
          <w:trHeight w:val="379" w:hRule="atLeast"/>
        </w:trPr>
        <w:tc>
          <w:tcPr>
            <w:tcW w:w="457" w:type="dxa"/>
            <w:vMerge w:val="continue"/>
            <w:tcBorders>
              <w:top w:val="nil"/>
              <w:left w:val="single" w:color="auto" w:sz="4" w:space="0"/>
              <w:bottom w:val="single" w:color="auto" w:sz="4" w:space="0"/>
              <w:right w:val="single" w:color="auto" w:sz="4" w:space="0"/>
            </w:tcBorders>
            <w:vAlign w:val="center"/>
          </w:tcPr>
          <w:p w14:paraId="1C7804DE">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73AA922A">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1</w:t>
            </w:r>
            <w:r>
              <w:rPr>
                <w:rFonts w:hint="eastAsia" w:ascii="Times New Roman" w:hAnsi="Times New Roman" w:eastAsia="方正仿宋简体" w:cs="Times New Roman"/>
                <w:color w:val="000000"/>
              </w:rPr>
              <w:t>7</w:t>
            </w:r>
          </w:p>
        </w:tc>
        <w:tc>
          <w:tcPr>
            <w:tcW w:w="3194" w:type="dxa"/>
            <w:tcBorders>
              <w:top w:val="nil"/>
              <w:left w:val="nil"/>
              <w:bottom w:val="single" w:color="auto" w:sz="4" w:space="0"/>
              <w:right w:val="single" w:color="auto" w:sz="4" w:space="0"/>
            </w:tcBorders>
            <w:shd w:val="clear" w:color="auto" w:fill="auto"/>
            <w:vAlign w:val="center"/>
          </w:tcPr>
          <w:p w14:paraId="44DB0CB2">
            <w:pPr>
              <w:widowControl w:val="0"/>
              <w:spacing w:line="300" w:lineRule="exact"/>
              <w:rPr>
                <w:rFonts w:ascii="Times New Roman" w:hAnsi="Times New Roman" w:eastAsia="方正仿宋简体" w:cs="Times New Roman"/>
                <w:color w:val="000000"/>
              </w:rPr>
            </w:pPr>
            <w:r>
              <w:rPr>
                <w:rFonts w:hint="eastAsia" w:ascii="Times New Roman" w:hAnsi="Times New Roman" w:eastAsia="方正仿宋简体" w:cs="Times New Roman"/>
                <w:color w:val="000000"/>
              </w:rPr>
              <w:t>人均公共绿地（平方米）</w:t>
            </w:r>
          </w:p>
        </w:tc>
        <w:tc>
          <w:tcPr>
            <w:tcW w:w="1416" w:type="dxa"/>
            <w:tcBorders>
              <w:top w:val="nil"/>
              <w:left w:val="nil"/>
              <w:bottom w:val="single" w:color="auto" w:sz="4" w:space="0"/>
              <w:right w:val="single" w:color="auto" w:sz="4" w:space="0"/>
            </w:tcBorders>
            <w:shd w:val="clear" w:color="auto" w:fill="auto"/>
            <w:vAlign w:val="center"/>
          </w:tcPr>
          <w:p w14:paraId="2C709B1C">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14.</w:t>
            </w:r>
            <w:r>
              <w:rPr>
                <w:rFonts w:hint="eastAsia" w:ascii="Times New Roman" w:hAnsi="Times New Roman" w:eastAsia="方正仿宋简体" w:cs="Times New Roman"/>
                <w:color w:val="000000"/>
              </w:rPr>
              <w:t>87</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40879867">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15.2</w:t>
            </w:r>
          </w:p>
        </w:tc>
        <w:tc>
          <w:tcPr>
            <w:tcW w:w="1174" w:type="dxa"/>
            <w:tcBorders>
              <w:top w:val="nil"/>
              <w:left w:val="nil"/>
              <w:bottom w:val="single" w:color="auto" w:sz="4" w:space="0"/>
              <w:right w:val="single" w:color="auto" w:sz="4" w:space="0"/>
            </w:tcBorders>
            <w:shd w:val="clear" w:color="auto" w:fill="auto"/>
            <w:vAlign w:val="center"/>
          </w:tcPr>
          <w:p w14:paraId="791A35AC">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46044254">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467CD9B1">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182467A4">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18</w:t>
            </w:r>
          </w:p>
        </w:tc>
        <w:tc>
          <w:tcPr>
            <w:tcW w:w="3194" w:type="dxa"/>
            <w:tcBorders>
              <w:top w:val="nil"/>
              <w:left w:val="nil"/>
              <w:bottom w:val="single" w:color="auto" w:sz="4" w:space="0"/>
              <w:right w:val="single" w:color="auto" w:sz="4" w:space="0"/>
            </w:tcBorders>
            <w:shd w:val="clear" w:color="auto" w:fill="auto"/>
            <w:vAlign w:val="center"/>
          </w:tcPr>
          <w:p w14:paraId="1EB186FF">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建成区绿地率（%）</w:t>
            </w:r>
          </w:p>
        </w:tc>
        <w:tc>
          <w:tcPr>
            <w:tcW w:w="1416" w:type="dxa"/>
            <w:tcBorders>
              <w:top w:val="nil"/>
              <w:left w:val="nil"/>
              <w:bottom w:val="single" w:color="auto" w:sz="4" w:space="0"/>
              <w:right w:val="single" w:color="auto" w:sz="4" w:space="0"/>
            </w:tcBorders>
            <w:shd w:val="clear" w:color="auto" w:fill="auto"/>
            <w:vAlign w:val="center"/>
          </w:tcPr>
          <w:p w14:paraId="3F83242D">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40.3</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36C7264C">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45</w:t>
            </w:r>
          </w:p>
        </w:tc>
        <w:tc>
          <w:tcPr>
            <w:tcW w:w="1174" w:type="dxa"/>
            <w:tcBorders>
              <w:top w:val="nil"/>
              <w:left w:val="nil"/>
              <w:bottom w:val="single" w:color="auto" w:sz="4" w:space="0"/>
              <w:right w:val="single" w:color="auto" w:sz="4" w:space="0"/>
            </w:tcBorders>
            <w:shd w:val="clear" w:color="auto" w:fill="auto"/>
            <w:vAlign w:val="center"/>
          </w:tcPr>
          <w:p w14:paraId="078AF4DB">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10A87098">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36BED039">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34FD78D6">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19</w:t>
            </w:r>
          </w:p>
        </w:tc>
        <w:tc>
          <w:tcPr>
            <w:tcW w:w="3194" w:type="dxa"/>
            <w:tcBorders>
              <w:top w:val="nil"/>
              <w:left w:val="nil"/>
              <w:bottom w:val="single" w:color="auto" w:sz="4" w:space="0"/>
              <w:right w:val="single" w:color="auto" w:sz="4" w:space="0"/>
            </w:tcBorders>
            <w:shd w:val="clear" w:color="auto" w:fill="auto"/>
            <w:vAlign w:val="center"/>
          </w:tcPr>
          <w:p w14:paraId="2FF4CE57">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绿化覆盖率（%）</w:t>
            </w:r>
          </w:p>
        </w:tc>
        <w:tc>
          <w:tcPr>
            <w:tcW w:w="1416" w:type="dxa"/>
            <w:tcBorders>
              <w:top w:val="nil"/>
              <w:left w:val="nil"/>
              <w:bottom w:val="single" w:color="auto" w:sz="4" w:space="0"/>
              <w:right w:val="single" w:color="auto" w:sz="4" w:space="0"/>
            </w:tcBorders>
            <w:shd w:val="clear" w:color="auto" w:fill="auto"/>
            <w:vAlign w:val="center"/>
          </w:tcPr>
          <w:p w14:paraId="494195BD">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43.2</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70FEF122">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45</w:t>
            </w:r>
          </w:p>
        </w:tc>
        <w:tc>
          <w:tcPr>
            <w:tcW w:w="1174" w:type="dxa"/>
            <w:tcBorders>
              <w:top w:val="nil"/>
              <w:left w:val="nil"/>
              <w:bottom w:val="single" w:color="auto" w:sz="4" w:space="0"/>
              <w:right w:val="single" w:color="auto" w:sz="4" w:space="0"/>
            </w:tcBorders>
            <w:shd w:val="clear" w:color="auto" w:fill="auto"/>
            <w:vAlign w:val="center"/>
          </w:tcPr>
          <w:p w14:paraId="18969BCD">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07820C32">
        <w:tblPrEx>
          <w:tblCellMar>
            <w:top w:w="0" w:type="dxa"/>
            <w:left w:w="108" w:type="dxa"/>
            <w:bottom w:w="0" w:type="dxa"/>
            <w:right w:w="108" w:type="dxa"/>
          </w:tblCellMar>
        </w:tblPrEx>
        <w:trPr>
          <w:trHeight w:val="567" w:hRule="atLeast"/>
        </w:trPr>
        <w:tc>
          <w:tcPr>
            <w:tcW w:w="4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F32753">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民生福祉</w:t>
            </w:r>
          </w:p>
        </w:tc>
        <w:tc>
          <w:tcPr>
            <w:tcW w:w="696" w:type="dxa"/>
            <w:tcBorders>
              <w:top w:val="single" w:color="auto" w:sz="4" w:space="0"/>
              <w:left w:val="nil"/>
              <w:bottom w:val="single" w:color="auto" w:sz="4" w:space="0"/>
              <w:right w:val="single" w:color="auto" w:sz="4" w:space="0"/>
            </w:tcBorders>
            <w:shd w:val="clear" w:color="auto" w:fill="auto"/>
            <w:vAlign w:val="center"/>
          </w:tcPr>
          <w:p w14:paraId="28C95968">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2</w:t>
            </w:r>
            <w:r>
              <w:rPr>
                <w:rFonts w:hint="eastAsia" w:ascii="Times New Roman" w:hAnsi="Times New Roman" w:eastAsia="方正仿宋简体" w:cs="Times New Roman"/>
                <w:color w:val="000000"/>
              </w:rPr>
              <w:t>0</w:t>
            </w:r>
          </w:p>
        </w:tc>
        <w:tc>
          <w:tcPr>
            <w:tcW w:w="3194" w:type="dxa"/>
            <w:tcBorders>
              <w:top w:val="single" w:color="auto" w:sz="4" w:space="0"/>
              <w:left w:val="nil"/>
              <w:bottom w:val="single" w:color="auto" w:sz="4" w:space="0"/>
              <w:right w:val="single" w:color="auto" w:sz="4" w:space="0"/>
            </w:tcBorders>
            <w:shd w:val="clear" w:color="auto" w:fill="auto"/>
            <w:vAlign w:val="center"/>
          </w:tcPr>
          <w:p w14:paraId="26D12A73">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居民人均可支配收入（元）</w:t>
            </w:r>
          </w:p>
        </w:tc>
        <w:tc>
          <w:tcPr>
            <w:tcW w:w="1416" w:type="dxa"/>
            <w:tcBorders>
              <w:top w:val="single" w:color="auto" w:sz="4" w:space="0"/>
              <w:left w:val="nil"/>
              <w:bottom w:val="single" w:color="auto" w:sz="4" w:space="0"/>
              <w:right w:val="single" w:color="auto" w:sz="4" w:space="0"/>
            </w:tcBorders>
            <w:shd w:val="clear" w:color="auto" w:fill="auto"/>
            <w:vAlign w:val="center"/>
          </w:tcPr>
          <w:p w14:paraId="03921864">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492</w:t>
            </w:r>
            <w:r>
              <w:rPr>
                <w:rFonts w:hint="eastAsia" w:ascii="Times New Roman" w:hAnsi="Times New Roman" w:eastAsia="方正仿宋简体" w:cs="Times New Roman"/>
                <w:color w:val="000000"/>
              </w:rPr>
              <w:t>17</w:t>
            </w:r>
          </w:p>
        </w:tc>
        <w:tc>
          <w:tcPr>
            <w:tcW w:w="816" w:type="dxa"/>
            <w:tcBorders>
              <w:top w:val="single" w:color="auto" w:sz="4" w:space="0"/>
              <w:left w:val="nil"/>
              <w:bottom w:val="single" w:color="auto" w:sz="4" w:space="0"/>
              <w:right w:val="single" w:color="auto" w:sz="4" w:space="0"/>
            </w:tcBorders>
            <w:shd w:val="clear" w:color="auto" w:fill="auto"/>
            <w:vAlign w:val="center"/>
          </w:tcPr>
          <w:p w14:paraId="34380C11">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68000</w:t>
            </w:r>
          </w:p>
        </w:tc>
        <w:tc>
          <w:tcPr>
            <w:tcW w:w="1462" w:type="dxa"/>
            <w:tcBorders>
              <w:top w:val="single" w:color="auto" w:sz="4" w:space="0"/>
              <w:left w:val="nil"/>
              <w:bottom w:val="single" w:color="auto" w:sz="4" w:space="0"/>
              <w:right w:val="single" w:color="auto" w:sz="4" w:space="0"/>
            </w:tcBorders>
            <w:shd w:val="clear" w:color="auto" w:fill="auto"/>
            <w:vAlign w:val="center"/>
          </w:tcPr>
          <w:p w14:paraId="597B55AB">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6.5%</w:t>
            </w:r>
          </w:p>
        </w:tc>
        <w:tc>
          <w:tcPr>
            <w:tcW w:w="1174" w:type="dxa"/>
            <w:tcBorders>
              <w:top w:val="single" w:color="auto" w:sz="4" w:space="0"/>
              <w:left w:val="nil"/>
              <w:bottom w:val="single" w:color="auto" w:sz="4" w:space="0"/>
              <w:right w:val="single" w:color="auto" w:sz="4" w:space="0"/>
            </w:tcBorders>
            <w:shd w:val="clear" w:color="auto" w:fill="auto"/>
            <w:vAlign w:val="center"/>
          </w:tcPr>
          <w:p w14:paraId="6B8356DD">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15A79964">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6F2D2D14">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59FBB779">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2</w:t>
            </w:r>
            <w:r>
              <w:rPr>
                <w:rFonts w:hint="eastAsia" w:ascii="Times New Roman" w:hAnsi="Times New Roman" w:eastAsia="方正仿宋简体" w:cs="Times New Roman"/>
                <w:color w:val="000000"/>
              </w:rPr>
              <w:t>1</w:t>
            </w:r>
          </w:p>
        </w:tc>
        <w:tc>
          <w:tcPr>
            <w:tcW w:w="3194" w:type="dxa"/>
            <w:tcBorders>
              <w:top w:val="nil"/>
              <w:left w:val="nil"/>
              <w:bottom w:val="single" w:color="auto" w:sz="4" w:space="0"/>
              <w:right w:val="single" w:color="auto" w:sz="4" w:space="0"/>
            </w:tcBorders>
            <w:shd w:val="clear" w:color="auto" w:fill="auto"/>
            <w:vAlign w:val="center"/>
          </w:tcPr>
          <w:p w14:paraId="76D2B91D">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城</w:t>
            </w:r>
            <w:r>
              <w:rPr>
                <w:rFonts w:hint="eastAsia" w:ascii="Times New Roman" w:hAnsi="Times New Roman" w:eastAsia="方正仿宋简体" w:cs="Times New Roman"/>
                <w:color w:val="000000"/>
              </w:rPr>
              <w:t>乡</w:t>
            </w:r>
            <w:r>
              <w:rPr>
                <w:rFonts w:ascii="Times New Roman" w:hAnsi="Times New Roman" w:eastAsia="方正仿宋简体" w:cs="Times New Roman"/>
                <w:color w:val="000000"/>
              </w:rPr>
              <w:t>居民养老保险参保率（%）</w:t>
            </w:r>
          </w:p>
        </w:tc>
        <w:tc>
          <w:tcPr>
            <w:tcW w:w="1416" w:type="dxa"/>
            <w:tcBorders>
              <w:top w:val="nil"/>
              <w:left w:val="nil"/>
              <w:bottom w:val="single" w:color="auto" w:sz="4" w:space="0"/>
              <w:right w:val="single" w:color="auto" w:sz="4" w:space="0"/>
            </w:tcBorders>
            <w:shd w:val="clear" w:color="auto" w:fill="auto"/>
            <w:vAlign w:val="center"/>
          </w:tcPr>
          <w:p w14:paraId="57E3146E">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99.6</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22640DE2">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99.8</w:t>
            </w:r>
          </w:p>
        </w:tc>
        <w:tc>
          <w:tcPr>
            <w:tcW w:w="1174" w:type="dxa"/>
            <w:tcBorders>
              <w:top w:val="nil"/>
              <w:left w:val="nil"/>
              <w:bottom w:val="single" w:color="auto" w:sz="4" w:space="0"/>
              <w:right w:val="single" w:color="auto" w:sz="4" w:space="0"/>
            </w:tcBorders>
            <w:shd w:val="clear" w:color="auto" w:fill="auto"/>
            <w:vAlign w:val="center"/>
          </w:tcPr>
          <w:p w14:paraId="78087888">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1A63C1AF">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7F65ED13">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0F9B471B">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2</w:t>
            </w:r>
            <w:r>
              <w:rPr>
                <w:rFonts w:hint="eastAsia" w:ascii="Times New Roman" w:hAnsi="Times New Roman" w:eastAsia="方正仿宋简体" w:cs="Times New Roman"/>
                <w:color w:val="000000"/>
              </w:rPr>
              <w:t>2</w:t>
            </w:r>
          </w:p>
        </w:tc>
        <w:tc>
          <w:tcPr>
            <w:tcW w:w="3194" w:type="dxa"/>
            <w:tcBorders>
              <w:top w:val="nil"/>
              <w:left w:val="nil"/>
              <w:bottom w:val="single" w:color="auto" w:sz="4" w:space="0"/>
              <w:right w:val="single" w:color="auto" w:sz="4" w:space="0"/>
            </w:tcBorders>
            <w:shd w:val="clear" w:color="auto" w:fill="auto"/>
            <w:vAlign w:val="center"/>
          </w:tcPr>
          <w:p w14:paraId="6C7193D2">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城乡居民医保参保率（%）</w:t>
            </w:r>
          </w:p>
        </w:tc>
        <w:tc>
          <w:tcPr>
            <w:tcW w:w="1416" w:type="dxa"/>
            <w:tcBorders>
              <w:top w:val="nil"/>
              <w:left w:val="nil"/>
              <w:bottom w:val="single" w:color="auto" w:sz="4" w:space="0"/>
              <w:right w:val="single" w:color="auto" w:sz="4" w:space="0"/>
            </w:tcBorders>
            <w:shd w:val="clear" w:color="auto" w:fill="auto"/>
            <w:vAlign w:val="center"/>
          </w:tcPr>
          <w:p w14:paraId="5EAE3C6C">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96.2</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491A4ED0">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97</w:t>
            </w:r>
          </w:p>
        </w:tc>
        <w:tc>
          <w:tcPr>
            <w:tcW w:w="1174" w:type="dxa"/>
            <w:tcBorders>
              <w:top w:val="nil"/>
              <w:left w:val="nil"/>
              <w:bottom w:val="single" w:color="auto" w:sz="4" w:space="0"/>
              <w:right w:val="single" w:color="auto" w:sz="4" w:space="0"/>
            </w:tcBorders>
            <w:shd w:val="clear" w:color="auto" w:fill="auto"/>
            <w:vAlign w:val="center"/>
          </w:tcPr>
          <w:p w14:paraId="2977E1B9">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65ECD52C">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4D4658D5">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7753FA46">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2</w:t>
            </w:r>
            <w:r>
              <w:rPr>
                <w:rFonts w:hint="eastAsia" w:ascii="Times New Roman" w:hAnsi="Times New Roman" w:eastAsia="方正仿宋简体" w:cs="Times New Roman"/>
                <w:color w:val="000000"/>
              </w:rPr>
              <w:t>3</w:t>
            </w:r>
          </w:p>
        </w:tc>
        <w:tc>
          <w:tcPr>
            <w:tcW w:w="3194" w:type="dxa"/>
            <w:tcBorders>
              <w:top w:val="nil"/>
              <w:left w:val="nil"/>
              <w:bottom w:val="single" w:color="auto" w:sz="4" w:space="0"/>
              <w:right w:val="single" w:color="auto" w:sz="4" w:space="0"/>
            </w:tcBorders>
            <w:shd w:val="clear" w:color="auto" w:fill="auto"/>
            <w:vAlign w:val="center"/>
          </w:tcPr>
          <w:p w14:paraId="3C461D4D">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每千人口医疗机构床位数（张）</w:t>
            </w:r>
          </w:p>
        </w:tc>
        <w:tc>
          <w:tcPr>
            <w:tcW w:w="1416" w:type="dxa"/>
            <w:tcBorders>
              <w:top w:val="nil"/>
              <w:left w:val="nil"/>
              <w:bottom w:val="single" w:color="auto" w:sz="4" w:space="0"/>
              <w:right w:val="single" w:color="auto" w:sz="4" w:space="0"/>
            </w:tcBorders>
            <w:shd w:val="clear" w:color="auto" w:fill="auto"/>
            <w:vAlign w:val="center"/>
          </w:tcPr>
          <w:p w14:paraId="35FA9FD6">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2.63</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5C75996B">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4</w:t>
            </w:r>
          </w:p>
        </w:tc>
        <w:tc>
          <w:tcPr>
            <w:tcW w:w="1174" w:type="dxa"/>
            <w:tcBorders>
              <w:top w:val="nil"/>
              <w:left w:val="nil"/>
              <w:bottom w:val="single" w:color="auto" w:sz="4" w:space="0"/>
              <w:right w:val="single" w:color="auto" w:sz="4" w:space="0"/>
            </w:tcBorders>
            <w:shd w:val="clear" w:color="auto" w:fill="auto"/>
            <w:vAlign w:val="center"/>
          </w:tcPr>
          <w:p w14:paraId="26D0A592">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07EB0EE4">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49B67B62">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2F487B51">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2</w:t>
            </w:r>
            <w:r>
              <w:rPr>
                <w:rFonts w:hint="eastAsia" w:ascii="Times New Roman" w:hAnsi="Times New Roman" w:eastAsia="方正仿宋简体" w:cs="Times New Roman"/>
                <w:color w:val="000000"/>
              </w:rPr>
              <w:t>4</w:t>
            </w:r>
          </w:p>
        </w:tc>
        <w:tc>
          <w:tcPr>
            <w:tcW w:w="3194" w:type="dxa"/>
            <w:tcBorders>
              <w:top w:val="nil"/>
              <w:left w:val="nil"/>
              <w:bottom w:val="single" w:color="auto" w:sz="4" w:space="0"/>
              <w:right w:val="single" w:color="auto" w:sz="4" w:space="0"/>
            </w:tcBorders>
            <w:shd w:val="clear" w:color="auto" w:fill="auto"/>
            <w:vAlign w:val="center"/>
          </w:tcPr>
          <w:p w14:paraId="67063072">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每千人口拥有执业（助理）医师数（人）</w:t>
            </w:r>
          </w:p>
        </w:tc>
        <w:tc>
          <w:tcPr>
            <w:tcW w:w="1416" w:type="dxa"/>
            <w:tcBorders>
              <w:top w:val="nil"/>
              <w:left w:val="nil"/>
              <w:bottom w:val="single" w:color="auto" w:sz="4" w:space="0"/>
              <w:right w:val="single" w:color="auto" w:sz="4" w:space="0"/>
            </w:tcBorders>
            <w:shd w:val="clear" w:color="auto" w:fill="auto"/>
            <w:vAlign w:val="center"/>
          </w:tcPr>
          <w:p w14:paraId="419C21E6">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1.98</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30B3B844">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2.2</w:t>
            </w:r>
          </w:p>
        </w:tc>
        <w:tc>
          <w:tcPr>
            <w:tcW w:w="1174" w:type="dxa"/>
            <w:tcBorders>
              <w:top w:val="nil"/>
              <w:left w:val="nil"/>
              <w:bottom w:val="single" w:color="auto" w:sz="4" w:space="0"/>
              <w:right w:val="single" w:color="auto" w:sz="4" w:space="0"/>
            </w:tcBorders>
            <w:shd w:val="clear" w:color="auto" w:fill="auto"/>
            <w:vAlign w:val="center"/>
          </w:tcPr>
          <w:p w14:paraId="124EB3E3">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22C0CB87">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6E78B685">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1B4EE717">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2</w:t>
            </w:r>
            <w:r>
              <w:rPr>
                <w:rFonts w:hint="eastAsia" w:ascii="Times New Roman" w:hAnsi="Times New Roman" w:eastAsia="方正仿宋简体" w:cs="Times New Roman"/>
                <w:color w:val="000000"/>
              </w:rPr>
              <w:t>5</w:t>
            </w:r>
          </w:p>
        </w:tc>
        <w:tc>
          <w:tcPr>
            <w:tcW w:w="3194" w:type="dxa"/>
            <w:tcBorders>
              <w:top w:val="nil"/>
              <w:left w:val="nil"/>
              <w:bottom w:val="single" w:color="auto" w:sz="4" w:space="0"/>
              <w:right w:val="single" w:color="auto" w:sz="4" w:space="0"/>
            </w:tcBorders>
            <w:shd w:val="clear" w:color="auto" w:fill="auto"/>
            <w:vAlign w:val="center"/>
          </w:tcPr>
          <w:p w14:paraId="4427B6FE">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新增学前教育、义务教育学位（个）</w:t>
            </w:r>
          </w:p>
        </w:tc>
        <w:tc>
          <w:tcPr>
            <w:tcW w:w="1416" w:type="dxa"/>
            <w:tcBorders>
              <w:top w:val="nil"/>
              <w:left w:val="nil"/>
              <w:bottom w:val="single" w:color="auto" w:sz="4" w:space="0"/>
              <w:right w:val="single" w:color="auto" w:sz="4" w:space="0"/>
            </w:tcBorders>
            <w:shd w:val="clear" w:color="auto" w:fill="auto"/>
            <w:vAlign w:val="center"/>
          </w:tcPr>
          <w:p w14:paraId="25FEFD26">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themeColor="text1"/>
                <w14:textFill>
                  <w14:solidFill>
                    <w14:schemeClr w14:val="tx1"/>
                  </w14:solidFill>
                </w14:textFill>
              </w:rPr>
              <w:t>--</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4EDF0E8A">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8000</w:t>
            </w:r>
          </w:p>
        </w:tc>
        <w:tc>
          <w:tcPr>
            <w:tcW w:w="1174" w:type="dxa"/>
            <w:tcBorders>
              <w:top w:val="nil"/>
              <w:left w:val="nil"/>
              <w:bottom w:val="single" w:color="auto" w:sz="4" w:space="0"/>
              <w:right w:val="single" w:color="auto" w:sz="4" w:space="0"/>
            </w:tcBorders>
            <w:shd w:val="clear" w:color="auto" w:fill="auto"/>
            <w:vAlign w:val="center"/>
          </w:tcPr>
          <w:p w14:paraId="69062D90">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预期性</w:t>
            </w:r>
          </w:p>
        </w:tc>
      </w:tr>
      <w:tr w14:paraId="210BBB15">
        <w:tblPrEx>
          <w:tblCellMar>
            <w:top w:w="0" w:type="dxa"/>
            <w:left w:w="108" w:type="dxa"/>
            <w:bottom w:w="0" w:type="dxa"/>
            <w:right w:w="108" w:type="dxa"/>
          </w:tblCellMar>
        </w:tblPrEx>
        <w:trPr>
          <w:trHeight w:val="567" w:hRule="atLeast"/>
        </w:trPr>
        <w:tc>
          <w:tcPr>
            <w:tcW w:w="457" w:type="dxa"/>
            <w:vMerge w:val="restart"/>
            <w:tcBorders>
              <w:top w:val="nil"/>
              <w:left w:val="single" w:color="auto" w:sz="4" w:space="0"/>
              <w:bottom w:val="single" w:color="auto" w:sz="4" w:space="0"/>
              <w:right w:val="single" w:color="auto" w:sz="4" w:space="0"/>
            </w:tcBorders>
            <w:shd w:val="clear" w:color="auto" w:fill="auto"/>
            <w:vAlign w:val="center"/>
          </w:tcPr>
          <w:p w14:paraId="4F2B1D3D">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生态文明</w:t>
            </w:r>
          </w:p>
        </w:tc>
        <w:tc>
          <w:tcPr>
            <w:tcW w:w="696" w:type="dxa"/>
            <w:tcBorders>
              <w:top w:val="nil"/>
              <w:left w:val="nil"/>
              <w:bottom w:val="single" w:color="auto" w:sz="4" w:space="0"/>
              <w:right w:val="single" w:color="auto" w:sz="4" w:space="0"/>
            </w:tcBorders>
            <w:shd w:val="clear" w:color="auto" w:fill="auto"/>
            <w:vAlign w:val="center"/>
          </w:tcPr>
          <w:p w14:paraId="15435437">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2</w:t>
            </w:r>
            <w:r>
              <w:rPr>
                <w:rFonts w:hint="eastAsia" w:ascii="Times New Roman" w:hAnsi="Times New Roman" w:eastAsia="方正仿宋简体" w:cs="Times New Roman"/>
                <w:color w:val="000000"/>
              </w:rPr>
              <w:t>6</w:t>
            </w:r>
          </w:p>
        </w:tc>
        <w:tc>
          <w:tcPr>
            <w:tcW w:w="3194" w:type="dxa"/>
            <w:tcBorders>
              <w:top w:val="nil"/>
              <w:left w:val="nil"/>
              <w:bottom w:val="single" w:color="auto" w:sz="4" w:space="0"/>
              <w:right w:val="single" w:color="auto" w:sz="4" w:space="0"/>
            </w:tcBorders>
            <w:shd w:val="clear" w:color="auto" w:fill="auto"/>
            <w:vAlign w:val="center"/>
          </w:tcPr>
          <w:p w14:paraId="6C265199">
            <w:pPr>
              <w:widowControl w:val="0"/>
              <w:spacing w:line="300" w:lineRule="exact"/>
              <w:rPr>
                <w:rFonts w:ascii="Times New Roman" w:hAnsi="Times New Roman" w:eastAsia="方正仿宋简体" w:cs="Times New Roman"/>
                <w:color w:val="000000"/>
              </w:rPr>
            </w:pPr>
            <w:r>
              <w:rPr>
                <w:rFonts w:hint="eastAsia" w:ascii="Times New Roman" w:hAnsi="Times New Roman" w:eastAsia="方正仿宋简体" w:cs="Times New Roman"/>
                <w:color w:val="000000"/>
              </w:rPr>
              <w:t>规上工业</w:t>
            </w:r>
            <w:r>
              <w:rPr>
                <w:rFonts w:ascii="Times New Roman" w:hAnsi="Times New Roman" w:eastAsia="方正仿宋简体" w:cs="Times New Roman"/>
                <w:color w:val="000000"/>
              </w:rPr>
              <w:t>单位</w:t>
            </w:r>
            <w:r>
              <w:rPr>
                <w:rFonts w:hint="eastAsia" w:ascii="Times New Roman" w:hAnsi="Times New Roman" w:eastAsia="方正仿宋简体" w:cs="Times New Roman"/>
                <w:color w:val="000000"/>
              </w:rPr>
              <w:t>增加值</w:t>
            </w:r>
            <w:r>
              <w:rPr>
                <w:rFonts w:ascii="Times New Roman" w:hAnsi="Times New Roman" w:eastAsia="方正仿宋简体" w:cs="Times New Roman"/>
                <w:color w:val="000000"/>
              </w:rPr>
              <w:t>能耗降幅（%）</w:t>
            </w:r>
          </w:p>
        </w:tc>
        <w:tc>
          <w:tcPr>
            <w:tcW w:w="1416" w:type="dxa"/>
            <w:tcBorders>
              <w:top w:val="nil"/>
              <w:left w:val="nil"/>
              <w:bottom w:val="single" w:color="auto" w:sz="4" w:space="0"/>
              <w:right w:val="single" w:color="auto" w:sz="4" w:space="0"/>
            </w:tcBorders>
            <w:shd w:val="clear" w:color="auto" w:fill="auto"/>
            <w:vAlign w:val="center"/>
          </w:tcPr>
          <w:p w14:paraId="0A6D391D">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完成市下达目标</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7EEEBA07">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完成市下达目标</w:t>
            </w:r>
          </w:p>
        </w:tc>
        <w:tc>
          <w:tcPr>
            <w:tcW w:w="1174" w:type="dxa"/>
            <w:tcBorders>
              <w:top w:val="nil"/>
              <w:left w:val="nil"/>
              <w:bottom w:val="single" w:color="auto" w:sz="4" w:space="0"/>
              <w:right w:val="single" w:color="auto" w:sz="4" w:space="0"/>
            </w:tcBorders>
            <w:shd w:val="clear" w:color="auto" w:fill="auto"/>
            <w:vAlign w:val="center"/>
          </w:tcPr>
          <w:p w14:paraId="29B6D1B7">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约束性</w:t>
            </w:r>
          </w:p>
        </w:tc>
      </w:tr>
      <w:tr w14:paraId="66B89D62">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3302C8D9">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718371AE">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2</w:t>
            </w:r>
            <w:r>
              <w:rPr>
                <w:rFonts w:hint="eastAsia" w:ascii="Times New Roman" w:hAnsi="Times New Roman" w:eastAsia="方正仿宋简体" w:cs="Times New Roman"/>
                <w:color w:val="000000"/>
              </w:rPr>
              <w:t>7</w:t>
            </w:r>
          </w:p>
        </w:tc>
        <w:tc>
          <w:tcPr>
            <w:tcW w:w="3194" w:type="dxa"/>
            <w:tcBorders>
              <w:top w:val="nil"/>
              <w:left w:val="nil"/>
              <w:bottom w:val="single" w:color="auto" w:sz="4" w:space="0"/>
              <w:right w:val="single" w:color="auto" w:sz="4" w:space="0"/>
            </w:tcBorders>
            <w:shd w:val="clear" w:color="auto" w:fill="auto"/>
            <w:vAlign w:val="center"/>
          </w:tcPr>
          <w:p w14:paraId="260B5E96">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单位GDP二氧化碳排放降幅</w:t>
            </w:r>
          </w:p>
        </w:tc>
        <w:tc>
          <w:tcPr>
            <w:tcW w:w="1416" w:type="dxa"/>
            <w:tcBorders>
              <w:top w:val="nil"/>
              <w:left w:val="nil"/>
              <w:bottom w:val="single" w:color="auto" w:sz="4" w:space="0"/>
              <w:right w:val="single" w:color="auto" w:sz="4" w:space="0"/>
            </w:tcBorders>
            <w:shd w:val="clear" w:color="auto" w:fill="auto"/>
            <w:vAlign w:val="center"/>
          </w:tcPr>
          <w:p w14:paraId="7E496017">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完成市下达目标</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6783F451">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完成市下达目标</w:t>
            </w:r>
          </w:p>
        </w:tc>
        <w:tc>
          <w:tcPr>
            <w:tcW w:w="1174" w:type="dxa"/>
            <w:tcBorders>
              <w:top w:val="nil"/>
              <w:left w:val="nil"/>
              <w:bottom w:val="single" w:color="auto" w:sz="4" w:space="0"/>
              <w:right w:val="single" w:color="auto" w:sz="4" w:space="0"/>
            </w:tcBorders>
            <w:shd w:val="clear" w:color="auto" w:fill="auto"/>
            <w:vAlign w:val="center"/>
          </w:tcPr>
          <w:p w14:paraId="56D60DAD">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约束性</w:t>
            </w:r>
          </w:p>
        </w:tc>
      </w:tr>
      <w:tr w14:paraId="3EF5B22D">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7447C1CA">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3511649B">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28</w:t>
            </w:r>
          </w:p>
        </w:tc>
        <w:tc>
          <w:tcPr>
            <w:tcW w:w="3194" w:type="dxa"/>
            <w:tcBorders>
              <w:top w:val="nil"/>
              <w:left w:val="nil"/>
              <w:bottom w:val="single" w:color="auto" w:sz="4" w:space="0"/>
              <w:right w:val="single" w:color="auto" w:sz="4" w:space="0"/>
            </w:tcBorders>
            <w:shd w:val="clear" w:color="auto" w:fill="auto"/>
            <w:vAlign w:val="center"/>
          </w:tcPr>
          <w:p w14:paraId="1F75733C">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空气环境质量好于二级标准的天数比例（%）</w:t>
            </w:r>
          </w:p>
        </w:tc>
        <w:tc>
          <w:tcPr>
            <w:tcW w:w="1416" w:type="dxa"/>
            <w:tcBorders>
              <w:top w:val="nil"/>
              <w:left w:val="nil"/>
              <w:bottom w:val="single" w:color="auto" w:sz="4" w:space="0"/>
              <w:right w:val="single" w:color="auto" w:sz="4" w:space="0"/>
            </w:tcBorders>
            <w:shd w:val="clear" w:color="auto" w:fill="auto"/>
            <w:vAlign w:val="center"/>
          </w:tcPr>
          <w:p w14:paraId="14476F6D">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97</w:t>
            </w:r>
          </w:p>
        </w:tc>
        <w:tc>
          <w:tcPr>
            <w:tcW w:w="227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B82FDD">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完成市下达的环境质量控制目标</w:t>
            </w:r>
          </w:p>
        </w:tc>
        <w:tc>
          <w:tcPr>
            <w:tcW w:w="1174" w:type="dxa"/>
            <w:tcBorders>
              <w:top w:val="nil"/>
              <w:left w:val="nil"/>
              <w:bottom w:val="single" w:color="auto" w:sz="4" w:space="0"/>
              <w:right w:val="single" w:color="auto" w:sz="4" w:space="0"/>
            </w:tcBorders>
            <w:shd w:val="clear" w:color="auto" w:fill="auto"/>
            <w:vAlign w:val="center"/>
          </w:tcPr>
          <w:p w14:paraId="60C9E4A2">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约束性</w:t>
            </w:r>
          </w:p>
        </w:tc>
      </w:tr>
      <w:tr w14:paraId="30949FC1">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0C3492A6">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06E436E6">
            <w:pPr>
              <w:widowControl w:val="0"/>
              <w:spacing w:line="300" w:lineRule="exact"/>
              <w:jc w:val="center"/>
              <w:rPr>
                <w:rFonts w:ascii="Times New Roman" w:hAnsi="Times New Roman" w:eastAsia="方正仿宋简体" w:cs="Times New Roman"/>
                <w:color w:val="000000"/>
              </w:rPr>
            </w:pPr>
            <w:r>
              <w:rPr>
                <w:rFonts w:hint="eastAsia" w:ascii="Times New Roman" w:hAnsi="Times New Roman" w:eastAsia="方正仿宋简体" w:cs="Times New Roman"/>
                <w:color w:val="000000"/>
              </w:rPr>
              <w:t>29</w:t>
            </w:r>
          </w:p>
        </w:tc>
        <w:tc>
          <w:tcPr>
            <w:tcW w:w="3194" w:type="dxa"/>
            <w:tcBorders>
              <w:top w:val="nil"/>
              <w:left w:val="nil"/>
              <w:bottom w:val="single" w:color="auto" w:sz="4" w:space="0"/>
              <w:right w:val="single" w:color="auto" w:sz="4" w:space="0"/>
            </w:tcBorders>
            <w:shd w:val="clear" w:color="auto" w:fill="auto"/>
            <w:vAlign w:val="center"/>
          </w:tcPr>
          <w:p w14:paraId="55E101E4">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PM2.5年日均浓度（mg/m³）</w:t>
            </w:r>
          </w:p>
        </w:tc>
        <w:tc>
          <w:tcPr>
            <w:tcW w:w="1416" w:type="dxa"/>
            <w:tcBorders>
              <w:top w:val="nil"/>
              <w:left w:val="nil"/>
              <w:bottom w:val="single" w:color="auto" w:sz="4" w:space="0"/>
              <w:right w:val="single" w:color="auto" w:sz="4" w:space="0"/>
            </w:tcBorders>
            <w:shd w:val="clear" w:color="auto" w:fill="auto"/>
            <w:vAlign w:val="center"/>
          </w:tcPr>
          <w:p w14:paraId="23CD58CE">
            <w:pPr>
              <w:widowControl w:val="0"/>
              <w:spacing w:line="300" w:lineRule="exact"/>
              <w:jc w:val="center"/>
              <w:rPr>
                <w:rFonts w:ascii="Times New Roman" w:hAnsi="Times New Roman" w:eastAsia="方正仿宋简体" w:cs="Times New Roman"/>
              </w:rPr>
            </w:pPr>
            <w:r>
              <w:rPr>
                <w:rFonts w:ascii="Times New Roman" w:hAnsi="Times New Roman" w:eastAsia="方正仿宋简体" w:cs="Times New Roman"/>
              </w:rPr>
              <w:t>0.021</w:t>
            </w:r>
          </w:p>
        </w:tc>
        <w:tc>
          <w:tcPr>
            <w:tcW w:w="2278" w:type="dxa"/>
            <w:gridSpan w:val="2"/>
            <w:vMerge w:val="continue"/>
            <w:tcBorders>
              <w:top w:val="nil"/>
              <w:left w:val="nil"/>
              <w:bottom w:val="single" w:color="auto" w:sz="4" w:space="0"/>
              <w:right w:val="single" w:color="auto" w:sz="4" w:space="0"/>
            </w:tcBorders>
            <w:vAlign w:val="center"/>
          </w:tcPr>
          <w:p w14:paraId="4AE2F539">
            <w:pPr>
              <w:widowControl w:val="0"/>
              <w:spacing w:line="300" w:lineRule="exact"/>
              <w:rPr>
                <w:rFonts w:ascii="Times New Roman" w:hAnsi="Times New Roman" w:eastAsia="方正仿宋简体" w:cs="Times New Roman"/>
                <w:color w:val="000000"/>
              </w:rPr>
            </w:pPr>
          </w:p>
        </w:tc>
        <w:tc>
          <w:tcPr>
            <w:tcW w:w="1174" w:type="dxa"/>
            <w:tcBorders>
              <w:top w:val="nil"/>
              <w:left w:val="nil"/>
              <w:bottom w:val="single" w:color="auto" w:sz="4" w:space="0"/>
              <w:right w:val="single" w:color="auto" w:sz="4" w:space="0"/>
            </w:tcBorders>
            <w:shd w:val="clear" w:color="auto" w:fill="auto"/>
            <w:vAlign w:val="center"/>
          </w:tcPr>
          <w:p w14:paraId="7D093CA8">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约束性</w:t>
            </w:r>
          </w:p>
        </w:tc>
      </w:tr>
      <w:tr w14:paraId="33730FEF">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70856B34">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149F6E6D">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3</w:t>
            </w:r>
            <w:r>
              <w:rPr>
                <w:rFonts w:hint="eastAsia" w:ascii="Times New Roman" w:hAnsi="Times New Roman" w:eastAsia="方正仿宋简体" w:cs="Times New Roman"/>
                <w:color w:val="000000"/>
              </w:rPr>
              <w:t>0</w:t>
            </w:r>
          </w:p>
        </w:tc>
        <w:tc>
          <w:tcPr>
            <w:tcW w:w="3194" w:type="dxa"/>
            <w:tcBorders>
              <w:top w:val="nil"/>
              <w:left w:val="nil"/>
              <w:bottom w:val="single" w:color="auto" w:sz="4" w:space="0"/>
              <w:right w:val="single" w:color="auto" w:sz="4" w:space="0"/>
            </w:tcBorders>
            <w:shd w:val="clear" w:color="auto" w:fill="auto"/>
            <w:vAlign w:val="center"/>
          </w:tcPr>
          <w:p w14:paraId="03EDEA0B">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省控断面地表水水质达标率（%）</w:t>
            </w:r>
          </w:p>
        </w:tc>
        <w:tc>
          <w:tcPr>
            <w:tcW w:w="1416" w:type="dxa"/>
            <w:tcBorders>
              <w:top w:val="nil"/>
              <w:left w:val="nil"/>
              <w:bottom w:val="single" w:color="auto" w:sz="4" w:space="0"/>
              <w:right w:val="single" w:color="auto" w:sz="4" w:space="0"/>
            </w:tcBorders>
            <w:shd w:val="clear" w:color="auto" w:fill="auto"/>
            <w:vAlign w:val="center"/>
          </w:tcPr>
          <w:p w14:paraId="68FD3B4E">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100</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36759DF5">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100</w:t>
            </w:r>
          </w:p>
        </w:tc>
        <w:tc>
          <w:tcPr>
            <w:tcW w:w="1174" w:type="dxa"/>
            <w:tcBorders>
              <w:top w:val="nil"/>
              <w:left w:val="nil"/>
              <w:bottom w:val="single" w:color="auto" w:sz="4" w:space="0"/>
              <w:right w:val="single" w:color="auto" w:sz="4" w:space="0"/>
            </w:tcBorders>
            <w:shd w:val="clear" w:color="auto" w:fill="auto"/>
            <w:vAlign w:val="center"/>
          </w:tcPr>
          <w:p w14:paraId="2D65BA51">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约束性</w:t>
            </w:r>
          </w:p>
        </w:tc>
      </w:tr>
      <w:tr w14:paraId="3FDCC165">
        <w:tblPrEx>
          <w:tblCellMar>
            <w:top w:w="0" w:type="dxa"/>
            <w:left w:w="108" w:type="dxa"/>
            <w:bottom w:w="0" w:type="dxa"/>
            <w:right w:w="108" w:type="dxa"/>
          </w:tblCellMar>
        </w:tblPrEx>
        <w:trPr>
          <w:trHeight w:val="567" w:hRule="atLeast"/>
        </w:trPr>
        <w:tc>
          <w:tcPr>
            <w:tcW w:w="457" w:type="dxa"/>
            <w:vMerge w:val="continue"/>
            <w:tcBorders>
              <w:top w:val="nil"/>
              <w:left w:val="single" w:color="auto" w:sz="4" w:space="0"/>
              <w:bottom w:val="single" w:color="auto" w:sz="4" w:space="0"/>
              <w:right w:val="single" w:color="auto" w:sz="4" w:space="0"/>
            </w:tcBorders>
            <w:vAlign w:val="center"/>
          </w:tcPr>
          <w:p w14:paraId="2E598939">
            <w:pPr>
              <w:widowControl w:val="0"/>
              <w:spacing w:line="300" w:lineRule="exact"/>
              <w:rPr>
                <w:rFonts w:ascii="Times New Roman" w:hAnsi="Times New Roman" w:eastAsia="方正仿宋简体" w:cs="Times New Roman"/>
                <w:color w:val="000000"/>
              </w:rPr>
            </w:pPr>
          </w:p>
        </w:tc>
        <w:tc>
          <w:tcPr>
            <w:tcW w:w="696" w:type="dxa"/>
            <w:tcBorders>
              <w:top w:val="nil"/>
              <w:left w:val="nil"/>
              <w:bottom w:val="single" w:color="auto" w:sz="4" w:space="0"/>
              <w:right w:val="single" w:color="auto" w:sz="4" w:space="0"/>
            </w:tcBorders>
            <w:shd w:val="clear" w:color="auto" w:fill="auto"/>
            <w:vAlign w:val="center"/>
          </w:tcPr>
          <w:p w14:paraId="68967BF1">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3</w:t>
            </w:r>
            <w:r>
              <w:rPr>
                <w:rFonts w:hint="eastAsia" w:ascii="Times New Roman" w:hAnsi="Times New Roman" w:eastAsia="方正仿宋简体" w:cs="Times New Roman"/>
                <w:color w:val="000000"/>
              </w:rPr>
              <w:t>1</w:t>
            </w:r>
          </w:p>
        </w:tc>
        <w:tc>
          <w:tcPr>
            <w:tcW w:w="3194" w:type="dxa"/>
            <w:tcBorders>
              <w:top w:val="nil"/>
              <w:left w:val="nil"/>
              <w:bottom w:val="single" w:color="auto" w:sz="4" w:space="0"/>
              <w:right w:val="single" w:color="auto" w:sz="4" w:space="0"/>
            </w:tcBorders>
            <w:shd w:val="clear" w:color="auto" w:fill="auto"/>
            <w:vAlign w:val="center"/>
          </w:tcPr>
          <w:p w14:paraId="0864C611">
            <w:pPr>
              <w:widowControl w:val="0"/>
              <w:spacing w:line="300" w:lineRule="exact"/>
              <w:rPr>
                <w:rFonts w:ascii="Times New Roman" w:hAnsi="Times New Roman" w:eastAsia="方正仿宋简体" w:cs="Times New Roman"/>
                <w:color w:val="000000"/>
              </w:rPr>
            </w:pPr>
            <w:r>
              <w:rPr>
                <w:rFonts w:ascii="Times New Roman" w:hAnsi="Times New Roman" w:eastAsia="方正仿宋简体" w:cs="Times New Roman"/>
                <w:color w:val="000000"/>
              </w:rPr>
              <w:t>森林覆盖率（%）</w:t>
            </w:r>
          </w:p>
        </w:tc>
        <w:tc>
          <w:tcPr>
            <w:tcW w:w="1416" w:type="dxa"/>
            <w:tcBorders>
              <w:top w:val="nil"/>
              <w:left w:val="nil"/>
              <w:bottom w:val="single" w:color="auto" w:sz="4" w:space="0"/>
              <w:right w:val="single" w:color="auto" w:sz="4" w:space="0"/>
            </w:tcBorders>
            <w:shd w:val="clear" w:color="auto" w:fill="auto"/>
            <w:vAlign w:val="center"/>
          </w:tcPr>
          <w:p w14:paraId="38D64B35">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21.79</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14:paraId="1A3286D6">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完成市下达目标</w:t>
            </w:r>
          </w:p>
        </w:tc>
        <w:tc>
          <w:tcPr>
            <w:tcW w:w="1174" w:type="dxa"/>
            <w:tcBorders>
              <w:top w:val="nil"/>
              <w:left w:val="nil"/>
              <w:bottom w:val="single" w:color="auto" w:sz="4" w:space="0"/>
              <w:right w:val="single" w:color="auto" w:sz="4" w:space="0"/>
            </w:tcBorders>
            <w:shd w:val="clear" w:color="auto" w:fill="auto"/>
            <w:vAlign w:val="center"/>
          </w:tcPr>
          <w:p w14:paraId="457129E5">
            <w:pPr>
              <w:widowControl w:val="0"/>
              <w:spacing w:line="300" w:lineRule="exact"/>
              <w:jc w:val="center"/>
              <w:rPr>
                <w:rFonts w:ascii="Times New Roman" w:hAnsi="Times New Roman" w:eastAsia="方正仿宋简体" w:cs="Times New Roman"/>
                <w:color w:val="000000"/>
              </w:rPr>
            </w:pPr>
            <w:r>
              <w:rPr>
                <w:rFonts w:ascii="Times New Roman" w:hAnsi="Times New Roman" w:eastAsia="方正仿宋简体" w:cs="Times New Roman"/>
                <w:color w:val="000000"/>
              </w:rPr>
              <w:t>约束性</w:t>
            </w:r>
          </w:p>
        </w:tc>
      </w:tr>
    </w:tbl>
    <w:p w14:paraId="500C1F74">
      <w:pPr>
        <w:pStyle w:val="39"/>
        <w:widowControl w:val="0"/>
        <w:adjustRightInd w:val="0"/>
        <w:snapToGrid w:val="0"/>
        <w:spacing w:before="0" w:beforeAutospacing="0" w:after="0" w:afterAutospacing="0" w:line="600" w:lineRule="exact"/>
        <w:jc w:val="both"/>
        <w:rPr>
          <w:rFonts w:ascii="Times New Roman" w:hAnsi="Times New Roman" w:eastAsia="仿宋"/>
          <w:color w:val="000000" w:themeColor="text1"/>
          <w:sz w:val="32"/>
          <w:szCs w:val="32"/>
          <w14:textFill>
            <w14:solidFill>
              <w14:schemeClr w14:val="tx1"/>
            </w14:solidFill>
          </w14:textFill>
        </w:rPr>
        <w:sectPr>
          <w:footnotePr>
            <w:numFmt w:val="decimalEnclosedCircleChinese"/>
          </w:footnotePr>
          <w:pgSz w:w="11900" w:h="16840"/>
          <w:pgMar w:top="1928" w:right="1474" w:bottom="1701" w:left="1588" w:header="851" w:footer="992" w:gutter="0"/>
          <w:cols w:space="425" w:num="1"/>
          <w:docGrid w:type="lines" w:linePitch="423" w:charSpace="0"/>
        </w:sectPr>
      </w:pPr>
    </w:p>
    <w:p w14:paraId="532D225F">
      <w:pPr>
        <w:pStyle w:val="2"/>
        <w:spacing w:after="0" w:line="590" w:lineRule="exact"/>
        <w:ind w:firstLine="0" w:firstLineChars="0"/>
        <w:jc w:val="center"/>
        <w:rPr>
          <w:rFonts w:ascii="Times New Roman" w:hAnsi="Times New Roman"/>
          <w:b w:val="0"/>
          <w:bCs/>
          <w:color w:val="000000" w:themeColor="text1"/>
          <w:sz w:val="36"/>
          <w14:textFill>
            <w14:solidFill>
              <w14:schemeClr w14:val="tx1"/>
            </w14:solidFill>
          </w14:textFill>
        </w:rPr>
      </w:pPr>
      <w:bookmarkStart w:id="47" w:name="_Toc59811653"/>
      <w:bookmarkStart w:id="48" w:name="_Toc74035491"/>
      <w:bookmarkStart w:id="49" w:name="_Toc73976139"/>
      <w:bookmarkStart w:id="50" w:name="OLE_LINK7"/>
      <w:bookmarkStart w:id="51" w:name="OLE_LINK8"/>
      <w:r>
        <w:rPr>
          <w:rFonts w:hint="eastAsia" w:ascii="Times New Roman" w:hAnsi="Times New Roman"/>
          <w:b w:val="0"/>
          <w:bCs/>
          <w:color w:val="000000" w:themeColor="text1"/>
          <w:sz w:val="36"/>
          <w14:textFill>
            <w14:solidFill>
              <w14:schemeClr w14:val="tx1"/>
            </w14:solidFill>
          </w14:textFill>
        </w:rPr>
        <w:t>第三章 创新发展，</w:t>
      </w:r>
      <w:bookmarkStart w:id="52" w:name="_Hlk59814867"/>
      <w:bookmarkStart w:id="53" w:name="_Hlk59807720"/>
      <w:r>
        <w:rPr>
          <w:rFonts w:hint="eastAsia" w:ascii="Times New Roman" w:hAnsi="Times New Roman"/>
          <w:b w:val="0"/>
          <w:bCs/>
          <w:color w:val="000000" w:themeColor="text1"/>
          <w:sz w:val="36"/>
          <w14:textFill>
            <w14:solidFill>
              <w14:schemeClr w14:val="tx1"/>
            </w14:solidFill>
          </w14:textFill>
        </w:rPr>
        <w:t>加快建设国家创新型城区</w:t>
      </w:r>
      <w:bookmarkEnd w:id="47"/>
      <w:bookmarkEnd w:id="48"/>
      <w:bookmarkEnd w:id="49"/>
      <w:bookmarkEnd w:id="52"/>
      <w:bookmarkEnd w:id="53"/>
    </w:p>
    <w:p w14:paraId="2103E01B"/>
    <w:p w14:paraId="3DCC6E7E">
      <w:pPr>
        <w:widowControl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28"/>
          <w14:textFill>
            <w14:solidFill>
              <w14:schemeClr w14:val="tx1"/>
            </w14:solidFill>
          </w14:textFill>
        </w:rPr>
        <w:t>坚持创新在现代化建设中的核心地位，深入实施创新驱动发展战略，加快创新型城市建设，推动新技术、新产业、新业态蓬勃发展，把创新理念贯穿到发展全过程和各领域，构建新发展格局，切实转变发展方式，推动质量变革、效率变革、动力变革，</w:t>
      </w:r>
      <w:r>
        <w:rPr>
          <w:rFonts w:hint="eastAsia" w:ascii="Times New Roman" w:hAnsi="Times New Roman" w:eastAsia="方正仿宋简体" w:cs="仿宋"/>
          <w:color w:val="000000" w:themeColor="text1"/>
          <w:sz w:val="32"/>
          <w:szCs w:val="32"/>
          <w14:textFill>
            <w14:solidFill>
              <w14:schemeClr w14:val="tx1"/>
            </w14:solidFill>
          </w14:textFill>
        </w:rPr>
        <w:t>加快建设具有影响力的区域创新战略高地。</w:t>
      </w:r>
    </w:p>
    <w:p w14:paraId="12EB1297">
      <w:pPr>
        <w:widowControl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p w14:paraId="0D185994">
      <w:pPr>
        <w:pStyle w:val="3"/>
        <w:keepNext w:val="0"/>
        <w:keepLines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54" w:name="_Toc59811654"/>
      <w:bookmarkStart w:id="55" w:name="_Toc74035492"/>
      <w:bookmarkStart w:id="56" w:name="_Toc73976140"/>
      <w:r>
        <w:rPr>
          <w:rFonts w:hint="eastAsia" w:ascii="黑体" w:hAnsi="黑体" w:eastAsia="黑体" w:cs="Times New Roman (标题 CS)"/>
          <w:b w:val="0"/>
          <w:color w:val="000000" w:themeColor="text1"/>
          <w14:textFill>
            <w14:solidFill>
              <w14:schemeClr w14:val="tx1"/>
            </w14:solidFill>
          </w14:textFill>
        </w:rPr>
        <w:t>第一节 加快建设创新引领示范新城区</w:t>
      </w:r>
      <w:bookmarkEnd w:id="54"/>
      <w:bookmarkEnd w:id="55"/>
      <w:bookmarkEnd w:id="56"/>
    </w:p>
    <w:p w14:paraId="4FE58693"/>
    <w:p w14:paraId="68F41797">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推进国家创新型城区建设。</w:t>
      </w:r>
      <w:r>
        <w:rPr>
          <w:rFonts w:hint="eastAsia" w:ascii="Times New Roman" w:hAnsi="Times New Roman" w:eastAsia="方正仿宋简体" w:cs="仿宋"/>
          <w:color w:val="000000" w:themeColor="text1"/>
          <w:sz w:val="32"/>
          <w:szCs w:val="32"/>
          <w14:textFill>
            <w14:solidFill>
              <w14:schemeClr w14:val="tx1"/>
            </w14:solidFill>
          </w14:textFill>
        </w:rPr>
        <w:t>积极抢抓自主创新示范区的政策机遇，实施高新区创新提升行动，主动融入福厦泉科创走廊建设，全力建设“中国制造2025”国家示范区。通过“筑巢引凤”激活发展动能、“腾笼换鸟”建设资源洼地、龙头带动促进转型升级，不断聚产业、聚要素、聚人气。围绕产业链部署创新链、围绕创新链布局产业链，不断升级创新功能载体，优化产业创新空间布局，推动传统产业集群向创新产业集群转化，培育沿晋江智慧产业融合带和浅山传统产业升级创新带两条科创产业走廊。</w:t>
      </w:r>
    </w:p>
    <w:p w14:paraId="74FD2521">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完善区域创新协同机制。</w:t>
      </w:r>
      <w:r>
        <w:rPr>
          <w:rFonts w:hint="eastAsia" w:ascii="Times New Roman" w:hAnsi="Times New Roman" w:eastAsia="方正仿宋简体" w:cs="仿宋"/>
          <w:color w:val="000000" w:themeColor="text1"/>
          <w:sz w:val="32"/>
          <w:szCs w:val="32"/>
          <w14:textFill>
            <w14:solidFill>
              <w14:schemeClr w14:val="tx1"/>
            </w14:solidFill>
          </w14:textFill>
        </w:rPr>
        <w:t>优化区域创新布局，互通互联创新要素，促进产业合理分工，围绕“技术创新、成果转化、高企培育、项目管理”等创新型城区建设要求聚焦发力，进一步完善科技创新政策体系。着力构建区域协同创新体系，扩大高新区自主创新示范区辐射效应，创新鲤城与周边区域联动发展机制，打造区域创新网络的关键枢纽。</w:t>
      </w:r>
    </w:p>
    <w:p w14:paraId="5D867236">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加强区域创新交流合作。</w:t>
      </w:r>
      <w:r>
        <w:rPr>
          <w:rFonts w:hint="eastAsia" w:ascii="Times New Roman" w:hAnsi="Times New Roman" w:eastAsia="方正仿宋简体" w:cs="仿宋"/>
          <w:color w:val="000000" w:themeColor="text1"/>
          <w:sz w:val="32"/>
          <w:szCs w:val="32"/>
          <w14:textFill>
            <w14:solidFill>
              <w14:schemeClr w14:val="tx1"/>
            </w14:solidFill>
          </w14:textFill>
        </w:rPr>
        <w:t>积极融入全球创新网络，拓展国际科技创新交流渠道，加强与“一带一路”沿线国家的科技合作和技术转移转化，引进发达国家和地区的知名科研机构、大型企业等来鲤设立机构，充分吸纳全球高端创新要素。深化鲤台科技创新合作，鼓励两岸科技人员开展产业技术联合攻关、拓展科技合作交流领域、对接高端产业技术，推动更多先进科技成果在鲤城落地转化。主动融入闽西南协同发展区的一体化建设，加强与厦门、漳州等闽西南城市及大泉州区域间的创新合作，推动建立协同区内的科技协作创新平台，形成分工明确和优势互补的区域创新格局。</w:t>
      </w:r>
    </w:p>
    <w:p w14:paraId="4FC854C9">
      <w:pPr>
        <w:widowControl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p w14:paraId="27FC5313">
      <w:pPr>
        <w:pStyle w:val="3"/>
        <w:keepNext w:val="0"/>
        <w:keepLines w:val="0"/>
        <w:spacing w:before="0" w:after="0" w:line="590" w:lineRule="exact"/>
        <w:jc w:val="center"/>
        <w:rPr>
          <w:rFonts w:ascii="黑体" w:hAnsi="黑体" w:eastAsia="黑体" w:cs="Times New Roman (标题 CS)"/>
          <w:b w:val="0"/>
        </w:rPr>
      </w:pPr>
      <w:bookmarkStart w:id="57" w:name="_Toc73976141"/>
      <w:bookmarkStart w:id="58" w:name="_Toc74035493"/>
      <w:bookmarkStart w:id="59" w:name="_Toc59811655"/>
      <w:r>
        <w:rPr>
          <w:rFonts w:hint="eastAsia" w:ascii="黑体" w:hAnsi="黑体" w:eastAsia="黑体" w:cs="Times New Roman (标题 CS)"/>
          <w:b w:val="0"/>
          <w:color w:val="000000" w:themeColor="text1"/>
          <w14:textFill>
            <w14:solidFill>
              <w14:schemeClr w14:val="tx1"/>
            </w14:solidFill>
          </w14:textFill>
        </w:rPr>
        <w:t xml:space="preserve">第二节 </w:t>
      </w:r>
      <w:r>
        <w:rPr>
          <w:rFonts w:hint="eastAsia" w:ascii="黑体" w:hAnsi="黑体" w:eastAsia="黑体" w:cs="Times New Roman (标题 CS)"/>
          <w:b w:val="0"/>
        </w:rPr>
        <w:t>全面推动产业重塑发展新优势</w:t>
      </w:r>
      <w:bookmarkEnd w:id="57"/>
      <w:bookmarkEnd w:id="58"/>
      <w:bookmarkEnd w:id="59"/>
    </w:p>
    <w:p w14:paraId="30D1F2F6"/>
    <w:p w14:paraId="60F4C017">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强化技术支撑。</w:t>
      </w:r>
      <w:r>
        <w:rPr>
          <w:rFonts w:hint="eastAsia" w:ascii="Times New Roman" w:hAnsi="Times New Roman" w:eastAsia="方正仿宋简体" w:cs="仿宋"/>
          <w:color w:val="000000" w:themeColor="text1"/>
          <w:sz w:val="32"/>
          <w:szCs w:val="32"/>
          <w14:textFill>
            <w14:solidFill>
              <w14:schemeClr w14:val="tx1"/>
            </w14:solidFill>
          </w14:textFill>
        </w:rPr>
        <w:t>以创新驱动产业转型升级，围绕我区新一代信息技术、机械汽配、纺织鞋服等主导产业领域的共性技术短板，制定技术创新的战略目标、重点领域和攻关路径，每年实施一批重大科技项目、技术改造项目和技术成果产业化项目，攻克光伏太阳能、电子元器件、新材料等高新技术产业的发展瓶颈，重点突破核心装备、关键材料和核心器件等“卡脖子”环节，形成支撑产业跨越发展创新源。做好新技术、新材料、新工艺的推广应用，加快应用</w:t>
      </w:r>
      <w:r>
        <w:rPr>
          <w:rFonts w:ascii="Times New Roman" w:hAnsi="Times New Roman" w:eastAsia="方正仿宋简体" w:cs="仿宋"/>
          <w:color w:val="000000" w:themeColor="text1"/>
          <w:sz w:val="32"/>
          <w:szCs w:val="32"/>
          <w14:textFill>
            <w14:solidFill>
              <w14:schemeClr w14:val="tx1"/>
            </w14:solidFill>
          </w14:textFill>
        </w:rPr>
        <w:t>5G、区块链、人工智能等技术发展工业互联网，加快应用高新技术改造提升纺织鞋服、机械汽配等传统产业，加快应用新技术提升现代服务业辐射引领能力，培育具有我区特色的现代化产业体系。</w:t>
      </w:r>
    </w:p>
    <w:p w14:paraId="5652A59E">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sz w:val="32"/>
          <w:szCs w:val="32"/>
        </w:rPr>
        <w:t>促进研发赋能。</w:t>
      </w:r>
      <w:r>
        <w:rPr>
          <w:rFonts w:hint="eastAsia" w:ascii="Times New Roman" w:hAnsi="Times New Roman" w:eastAsia="方正仿宋简体" w:cs="仿宋"/>
          <w:color w:val="000000" w:themeColor="text1"/>
          <w:sz w:val="32"/>
          <w:szCs w:val="32"/>
          <w14:textFill>
            <w14:solidFill>
              <w14:schemeClr w14:val="tx1"/>
            </w14:solidFill>
          </w14:textFill>
        </w:rPr>
        <w:t>落实各级减税降费政策，加大企业研发投入补助、研发费用加计扣除、高新技术企业认定等政策兑现力度，发放科技创新券，鼓励企业向科技服务机构购买技术创新服务，鼓励企业自主开展技术创新。继续发挥国家级、省级智能制造试点企业对产业示范引领作用，鼓励企业自主创新研发，力争至</w:t>
      </w:r>
      <w:r>
        <w:rPr>
          <w:rFonts w:ascii="Times New Roman" w:hAnsi="Times New Roman" w:eastAsia="方正仿宋简体" w:cs="仿宋"/>
          <w:color w:val="000000" w:themeColor="text1"/>
          <w:sz w:val="32"/>
          <w:szCs w:val="32"/>
          <w14:textFill>
            <w14:solidFill>
              <w14:schemeClr w14:val="tx1"/>
            </w14:solidFill>
          </w14:textFill>
        </w:rPr>
        <w:t>2025年，培育省级高成长企业15家，累计新增省级企业技术中心8个、省级以上工程研究中心2个</w:t>
      </w:r>
      <w:r>
        <w:rPr>
          <w:rFonts w:hint="eastAsia" w:ascii="Times New Roman" w:hAnsi="Times New Roman" w:eastAsia="方正仿宋简体" w:cs="仿宋"/>
          <w:color w:val="000000" w:themeColor="text1"/>
          <w:sz w:val="32"/>
          <w:szCs w:val="32"/>
          <w14:textFill>
            <w14:solidFill>
              <w14:schemeClr w14:val="tx1"/>
            </w14:solidFill>
          </w14:textFill>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CA0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auto"/>
          </w:tcPr>
          <w:p w14:paraId="70691A87">
            <w:pPr>
              <w:pStyle w:val="22"/>
              <w:widowControl w:val="0"/>
              <w:shd w:val="clear" w:color="auto" w:fill="FFFFFF"/>
              <w:spacing w:before="0" w:beforeAutospacing="0" w:after="0" w:afterAutospacing="0" w:line="480" w:lineRule="exact"/>
              <w:jc w:val="center"/>
              <w:rPr>
                <w:rFonts w:ascii="Times New Roman" w:hAnsi="Times New Roman" w:eastAsia="方正仿宋简体"/>
                <w:b/>
                <w:color w:val="000000" w:themeColor="text1"/>
                <w:kern w:val="2"/>
                <w:sz w:val="28"/>
                <w:szCs w:val="32"/>
                <w14:textFill>
                  <w14:solidFill>
                    <w14:schemeClr w14:val="tx1"/>
                  </w14:solidFill>
                </w14:textFill>
              </w:rPr>
            </w:pPr>
            <w:r>
              <w:rPr>
                <w:rFonts w:ascii="Times New Roman" w:hAnsi="Times New Roman" w:eastAsia="方正仿宋简体"/>
                <w:b/>
                <w:color w:val="000000" w:themeColor="text1"/>
                <w:kern w:val="2"/>
                <w:sz w:val="28"/>
                <w:szCs w:val="32"/>
                <w14:textFill>
                  <w14:solidFill>
                    <w14:schemeClr w14:val="tx1"/>
                  </w14:solidFill>
                </w14:textFill>
              </w:rPr>
              <w:t>专栏4</w:t>
            </w:r>
            <w:r>
              <w:rPr>
                <w:rFonts w:ascii="Times New Roman" w:hAnsi="Times New Roman" w:eastAsia="方正仿宋简体"/>
                <w:b/>
                <w:color w:val="000000" w:themeColor="text1"/>
                <w:sz w:val="28"/>
                <w:szCs w:val="32"/>
                <w14:textFill>
                  <w14:solidFill>
                    <w14:schemeClr w14:val="tx1"/>
                  </w14:solidFill>
                </w14:textFill>
              </w:rPr>
              <w:t>产业技术支撑工程</w:t>
            </w:r>
          </w:p>
        </w:tc>
      </w:tr>
      <w:tr w14:paraId="23F9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auto"/>
          </w:tcPr>
          <w:p w14:paraId="25B6DD3F">
            <w:pPr>
              <w:pStyle w:val="22"/>
              <w:widowControl w:val="0"/>
              <w:shd w:val="clear" w:color="auto" w:fill="FFFFFF"/>
              <w:spacing w:before="0" w:beforeAutospacing="0" w:after="0" w:afterAutospacing="0" w:line="480" w:lineRule="exact"/>
              <w:ind w:firstLine="482" w:firstLineChars="200"/>
              <w:jc w:val="both"/>
              <w:rPr>
                <w:rFonts w:ascii="Times New Roman" w:hAnsi="Times New Roman" w:eastAsia="方正仿宋简体"/>
                <w:color w:val="000000" w:themeColor="text1"/>
                <w:szCs w:val="32"/>
                <w14:textFill>
                  <w14:solidFill>
                    <w14:schemeClr w14:val="tx1"/>
                  </w14:solidFill>
                </w14:textFill>
              </w:rPr>
            </w:pPr>
            <w:r>
              <w:rPr>
                <w:rFonts w:ascii="Times New Roman" w:hAnsi="Times New Roman" w:eastAsia="方正仿宋简体"/>
                <w:b/>
                <w:color w:val="000000" w:themeColor="text1"/>
                <w:szCs w:val="32"/>
                <w14:textFill>
                  <w14:solidFill>
                    <w14:schemeClr w14:val="tx1"/>
                  </w14:solidFill>
                </w14:textFill>
              </w:rPr>
              <w:sym w:font="Wingdings" w:char="F0D8"/>
            </w:r>
            <w:r>
              <w:rPr>
                <w:rFonts w:ascii="Times New Roman" w:hAnsi="Times New Roman" w:eastAsia="方正仿宋简体"/>
                <w:b/>
                <w:color w:val="000000" w:themeColor="text1"/>
                <w:szCs w:val="32"/>
                <w14:textFill>
                  <w14:solidFill>
                    <w14:schemeClr w14:val="tx1"/>
                  </w14:solidFill>
                </w14:textFill>
              </w:rPr>
              <w:t>突破战略性新兴产业核心技术。</w:t>
            </w:r>
            <w:r>
              <w:rPr>
                <w:rFonts w:ascii="Times New Roman" w:hAnsi="Times New Roman" w:eastAsia="方正仿宋简体"/>
                <w:color w:val="000000" w:themeColor="text1"/>
                <w:szCs w:val="32"/>
                <w14:textFill>
                  <w14:solidFill>
                    <w14:schemeClr w14:val="tx1"/>
                  </w14:solidFill>
                </w14:textFill>
              </w:rPr>
              <w:t>加强与华侨大学、泉州师范学院、黎明职业大学、泉州经贸学院</w:t>
            </w:r>
            <w:r>
              <w:rPr>
                <w:rFonts w:hint="eastAsia" w:ascii="Times New Roman" w:hAnsi="Times New Roman" w:eastAsia="方正仿宋简体"/>
                <w:color w:val="000000" w:themeColor="text1"/>
                <w:szCs w:val="32"/>
                <w14:textFill>
                  <w14:solidFill>
                    <w14:schemeClr w14:val="tx1"/>
                  </w14:solidFill>
                </w14:textFill>
              </w:rPr>
              <w:t>、福州大学先进制造学院</w:t>
            </w:r>
            <w:r>
              <w:rPr>
                <w:rFonts w:ascii="Times New Roman" w:hAnsi="Times New Roman" w:eastAsia="方正仿宋简体"/>
                <w:color w:val="000000" w:themeColor="text1"/>
                <w:szCs w:val="32"/>
                <w14:textFill>
                  <w14:solidFill>
                    <w14:schemeClr w14:val="tx1"/>
                  </w14:solidFill>
                </w14:textFill>
              </w:rPr>
              <w:t>等本地高校以及科研院所合作，采取企业主导、高校（院所）协作、军民融合、成果分享等模式，开展新技术、新产品示范推广应用。</w:t>
            </w:r>
          </w:p>
          <w:p w14:paraId="314FB272">
            <w:pPr>
              <w:pStyle w:val="22"/>
              <w:widowControl w:val="0"/>
              <w:shd w:val="clear" w:color="auto" w:fill="FFFFFF"/>
              <w:spacing w:before="0" w:beforeAutospacing="0" w:after="0" w:afterAutospacing="0" w:line="480" w:lineRule="exact"/>
              <w:ind w:firstLine="482" w:firstLineChars="200"/>
              <w:jc w:val="both"/>
              <w:rPr>
                <w:rFonts w:ascii="Times New Roman" w:hAnsi="Times New Roman" w:eastAsia="方正仿宋简体"/>
                <w:color w:val="000000" w:themeColor="text1"/>
                <w:szCs w:val="32"/>
                <w14:textFill>
                  <w14:solidFill>
                    <w14:schemeClr w14:val="tx1"/>
                  </w14:solidFill>
                </w14:textFill>
              </w:rPr>
            </w:pPr>
            <w:r>
              <w:rPr>
                <w:rFonts w:ascii="Times New Roman" w:hAnsi="Times New Roman" w:eastAsia="方正仿宋简体"/>
                <w:b/>
                <w:color w:val="000000" w:themeColor="text1"/>
                <w:szCs w:val="32"/>
                <w14:textFill>
                  <w14:solidFill>
                    <w14:schemeClr w14:val="tx1"/>
                  </w14:solidFill>
                </w14:textFill>
              </w:rPr>
              <w:sym w:font="Wingdings" w:char="F0D8"/>
            </w:r>
            <w:r>
              <w:rPr>
                <w:rFonts w:ascii="Times New Roman" w:hAnsi="Times New Roman" w:eastAsia="方正仿宋简体"/>
                <w:b/>
                <w:color w:val="000000" w:themeColor="text1"/>
                <w:szCs w:val="32"/>
                <w14:textFill>
                  <w14:solidFill>
                    <w14:schemeClr w14:val="tx1"/>
                  </w14:solidFill>
                </w14:textFill>
              </w:rPr>
              <w:t>攻克传统产业转型升级技术。</w:t>
            </w:r>
            <w:r>
              <w:rPr>
                <w:rFonts w:ascii="Times New Roman" w:hAnsi="Times New Roman" w:eastAsia="方正仿宋简体"/>
                <w:color w:val="000000" w:themeColor="text1"/>
                <w:szCs w:val="32"/>
                <w14:textFill>
                  <w14:solidFill>
                    <w14:schemeClr w14:val="tx1"/>
                  </w14:solidFill>
                </w14:textFill>
              </w:rPr>
              <w:t>以智能制造为突破口和主攻方向，</w:t>
            </w:r>
            <w:r>
              <w:rPr>
                <w:rFonts w:hint="eastAsia" w:ascii="Times New Roman" w:hAnsi="Times New Roman" w:eastAsia="方正仿宋简体"/>
                <w:color w:val="000000" w:themeColor="text1"/>
                <w:szCs w:val="32"/>
                <w14:textFill>
                  <w14:solidFill>
                    <w14:schemeClr w14:val="tx1"/>
                  </w14:solidFill>
                </w14:textFill>
              </w:rPr>
              <w:t>实施</w:t>
            </w:r>
            <w:r>
              <w:rPr>
                <w:rFonts w:ascii="Times New Roman" w:hAnsi="Times New Roman" w:eastAsia="方正仿宋简体"/>
                <w:color w:val="000000" w:themeColor="text1"/>
                <w:szCs w:val="32"/>
                <w14:textFill>
                  <w14:solidFill>
                    <w14:schemeClr w14:val="tx1"/>
                  </w14:solidFill>
                </w14:textFill>
              </w:rPr>
              <w:t>自动化、数字化、智能化赋能</w:t>
            </w:r>
            <w:r>
              <w:rPr>
                <w:rFonts w:hint="eastAsia" w:ascii="Times New Roman" w:hAnsi="Times New Roman" w:eastAsia="方正仿宋简体"/>
                <w:color w:val="000000" w:themeColor="text1"/>
                <w:szCs w:val="32"/>
                <w14:textFill>
                  <w14:solidFill>
                    <w14:schemeClr w14:val="tx1"/>
                  </w14:solidFill>
                </w14:textFill>
              </w:rPr>
              <w:t>工程</w:t>
            </w:r>
            <w:r>
              <w:rPr>
                <w:rFonts w:ascii="Times New Roman" w:hAnsi="Times New Roman" w:eastAsia="方正仿宋简体"/>
                <w:color w:val="000000" w:themeColor="text1"/>
                <w:szCs w:val="32"/>
                <w14:textFill>
                  <w14:solidFill>
                    <w14:schemeClr w14:val="tx1"/>
                  </w14:solidFill>
                </w14:textFill>
              </w:rPr>
              <w:t>，着力培育先进制造业和专精特新企业发展，加快推进生产型制造向服务型制造转变。</w:t>
            </w:r>
          </w:p>
          <w:p w14:paraId="3AB4A257">
            <w:pPr>
              <w:pStyle w:val="22"/>
              <w:widowControl w:val="0"/>
              <w:shd w:val="clear" w:color="auto" w:fill="FFFFFF"/>
              <w:spacing w:before="0" w:beforeAutospacing="0" w:after="0" w:afterAutospacing="0" w:line="480" w:lineRule="exact"/>
              <w:ind w:firstLine="482" w:firstLineChars="200"/>
              <w:jc w:val="both"/>
              <w:rPr>
                <w:rFonts w:ascii="Times New Roman" w:hAnsi="Times New Roman" w:eastAsia="方正仿宋简体"/>
                <w:color w:val="000000" w:themeColor="text1"/>
                <w:szCs w:val="32"/>
                <w14:textFill>
                  <w14:solidFill>
                    <w14:schemeClr w14:val="tx1"/>
                  </w14:solidFill>
                </w14:textFill>
              </w:rPr>
            </w:pPr>
            <w:r>
              <w:rPr>
                <w:rFonts w:ascii="Times New Roman" w:hAnsi="Times New Roman" w:eastAsia="方正仿宋简体"/>
                <w:b/>
                <w:color w:val="000000" w:themeColor="text1"/>
                <w:szCs w:val="32"/>
                <w14:textFill>
                  <w14:solidFill>
                    <w14:schemeClr w14:val="tx1"/>
                  </w14:solidFill>
                </w14:textFill>
              </w:rPr>
              <w:sym w:font="Wingdings" w:char="F0D8"/>
            </w:r>
            <w:r>
              <w:rPr>
                <w:rFonts w:ascii="Times New Roman" w:hAnsi="Times New Roman" w:eastAsia="方正仿宋简体"/>
                <w:b/>
                <w:color w:val="000000" w:themeColor="text1"/>
                <w:szCs w:val="32"/>
                <w14:textFill>
                  <w14:solidFill>
                    <w14:schemeClr w14:val="tx1"/>
                  </w14:solidFill>
                </w14:textFill>
              </w:rPr>
              <w:t>发展现代服务业应用支撑技术。</w:t>
            </w:r>
            <w:r>
              <w:rPr>
                <w:rFonts w:ascii="Times New Roman" w:hAnsi="Times New Roman" w:eastAsia="方正仿宋简体"/>
                <w:color w:val="000000" w:themeColor="text1"/>
                <w:szCs w:val="32"/>
                <w14:textFill>
                  <w14:solidFill>
                    <w14:schemeClr w14:val="tx1"/>
                  </w14:solidFill>
                </w14:textFill>
              </w:rPr>
              <w:t>以新一代信息和网络技术为支撑，加快现代服务技术基础设施建设。加快创意设计、动漫等服务外包产业发展，加速5G技术、区块链等技术应用，推进工业设计、文化创意和相关产业融合发展。</w:t>
            </w:r>
          </w:p>
          <w:p w14:paraId="47F31836">
            <w:pPr>
              <w:pStyle w:val="22"/>
              <w:widowControl w:val="0"/>
              <w:shd w:val="clear" w:color="auto" w:fill="FFFFFF"/>
              <w:spacing w:before="0" w:beforeAutospacing="0" w:after="0" w:afterAutospacing="0" w:line="480" w:lineRule="exact"/>
              <w:ind w:firstLine="480" w:firstLineChars="200"/>
              <w:jc w:val="both"/>
              <w:rPr>
                <w:rFonts w:ascii="Times New Roman" w:hAnsi="Times New Roman" w:eastAsia="方正仿宋简体"/>
                <w:color w:val="000000" w:themeColor="text1"/>
                <w:sz w:val="28"/>
                <w:szCs w:val="32"/>
                <w14:textFill>
                  <w14:solidFill>
                    <w14:schemeClr w14:val="tx1"/>
                  </w14:solidFill>
                </w14:textFill>
              </w:rPr>
            </w:pPr>
            <w:r>
              <w:rPr>
                <w:rFonts w:ascii="Times New Roman" w:hAnsi="Times New Roman" w:eastAsia="方正仿宋简体"/>
                <w:color w:val="000000" w:themeColor="text1"/>
                <w:szCs w:val="32"/>
                <w14:textFill>
                  <w14:solidFill>
                    <w14:schemeClr w14:val="tx1"/>
                  </w14:solidFill>
                </w14:textFill>
              </w:rPr>
              <w:t>力争至2025年，累计新增省级企业技术中心8个、省级以上工程研究中心2个。</w:t>
            </w:r>
          </w:p>
        </w:tc>
      </w:tr>
    </w:tbl>
    <w:p w14:paraId="301ECA5B">
      <w:bookmarkStart w:id="60" w:name="_Toc59811656"/>
    </w:p>
    <w:p w14:paraId="0D7F4AED">
      <w:pPr>
        <w:pStyle w:val="3"/>
        <w:keepNext w:val="0"/>
        <w:keepLines w:val="0"/>
        <w:spacing w:before="0" w:after="0" w:line="590" w:lineRule="exact"/>
        <w:jc w:val="center"/>
        <w:rPr>
          <w:rFonts w:ascii="Times New Roman" w:hAnsi="Times New Roman" w:eastAsia="黑体" w:cs="Times New Roman (标题 CS)"/>
          <w:b w:val="0"/>
          <w:color w:val="000000" w:themeColor="text1"/>
          <w14:textFill>
            <w14:solidFill>
              <w14:schemeClr w14:val="tx1"/>
            </w14:solidFill>
          </w14:textFill>
        </w:rPr>
      </w:pPr>
      <w:bookmarkStart w:id="61" w:name="_Toc73976142"/>
      <w:bookmarkStart w:id="62" w:name="_Toc74035494"/>
      <w:r>
        <w:rPr>
          <w:rFonts w:hint="eastAsia" w:ascii="Times New Roman" w:hAnsi="Times New Roman" w:eastAsia="黑体" w:cs="Times New Roman (标题 CS)"/>
          <w:b w:val="0"/>
          <w:color w:val="000000" w:themeColor="text1"/>
          <w14:textFill>
            <w14:solidFill>
              <w14:schemeClr w14:val="tx1"/>
            </w14:solidFill>
          </w14:textFill>
        </w:rPr>
        <w:t>第三节 建立健全</w:t>
      </w:r>
      <w:bookmarkStart w:id="63" w:name="_Hlk59814946"/>
      <w:r>
        <w:rPr>
          <w:rFonts w:hint="eastAsia" w:ascii="Times New Roman" w:hAnsi="Times New Roman" w:eastAsia="黑体" w:cs="Times New Roman (标题 CS)"/>
          <w:b w:val="0"/>
          <w:color w:val="000000" w:themeColor="text1"/>
          <w14:textFill>
            <w14:solidFill>
              <w14:schemeClr w14:val="tx1"/>
            </w14:solidFill>
          </w14:textFill>
        </w:rPr>
        <w:t>创新协同发展新机制</w:t>
      </w:r>
      <w:bookmarkEnd w:id="60"/>
      <w:bookmarkEnd w:id="61"/>
      <w:bookmarkEnd w:id="62"/>
      <w:bookmarkEnd w:id="63"/>
    </w:p>
    <w:p w14:paraId="79E6994A"/>
    <w:p w14:paraId="1AD8F0AD">
      <w:pPr>
        <w:widowControl w:val="0"/>
        <w:spacing w:line="590" w:lineRule="exact"/>
        <w:ind w:firstLine="643" w:firstLineChars="200"/>
        <w:jc w:val="both"/>
        <w:rPr>
          <w:rFonts w:ascii="Times New Roman" w:hAnsi="Times New Roman" w:eastAsia="方正仿宋简体" w:cs="仿宋"/>
          <w:b/>
          <w:bCs/>
          <w:color w:val="000000" w:themeColor="text1"/>
          <w:sz w:val="32"/>
          <w:szCs w:val="32"/>
          <w14:textFill>
            <w14:solidFill>
              <w14:schemeClr w14:val="tx1"/>
            </w14:solidFill>
          </w14:textFill>
        </w:rPr>
      </w:pPr>
      <w:r>
        <w:rPr>
          <w:rFonts w:hint="eastAsia" w:ascii="Times New Roman" w:hAnsi="Times New Roman" w:eastAsia="方正仿宋简体" w:cs="仿宋"/>
          <w:b/>
          <w:bCs/>
          <w:color w:val="000000" w:themeColor="text1"/>
          <w:sz w:val="32"/>
          <w:szCs w:val="32"/>
          <w14:textFill>
            <w14:solidFill>
              <w14:schemeClr w14:val="tx1"/>
            </w14:solidFill>
          </w14:textFill>
        </w:rPr>
        <w:t>强化产学研用协同创新体系。</w:t>
      </w:r>
      <w:r>
        <w:rPr>
          <w:rFonts w:hint="eastAsia" w:ascii="Times New Roman" w:hAnsi="Times New Roman" w:eastAsia="方正仿宋简体" w:cs="仿宋"/>
          <w:color w:val="000000" w:themeColor="text1"/>
          <w:sz w:val="32"/>
          <w:szCs w:val="32"/>
          <w14:textFill>
            <w14:solidFill>
              <w14:schemeClr w14:val="tx1"/>
            </w14:solidFill>
          </w14:textFill>
        </w:rPr>
        <w:t>打造各类专业化协同创新平台，培育各类创新型产业组织模式。支持建立集技术研发、人才培养、项目培育、市场转化等功能于一体的创新联合体，探索从基础研究到应用设计、技术研发无缝衔接的科技成果培育、转化、产业化的新机制。优化配置产业链创新资源，搭建“政产学研金介用”七位一体创业创新生态圈，促进创新成果产业化、创新产品市场化。建立以企业为主体、市场为导向、产学研深度融合的技术创新体系，大力扶持大学生创业孵化基地、创客梦工厂等精品众创空间发展，弘扬科学精神，加强科普工作，营造崇尚创新的社会氛围。</w:t>
      </w:r>
    </w:p>
    <w:p w14:paraId="16773EA2">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深化创新大平台战略合作。</w:t>
      </w:r>
      <w:r>
        <w:rPr>
          <w:rFonts w:hint="eastAsia" w:ascii="Times New Roman" w:hAnsi="Times New Roman" w:eastAsia="方正仿宋简体" w:cs="仿宋"/>
          <w:color w:val="000000" w:themeColor="text1"/>
          <w:sz w:val="32"/>
          <w:szCs w:val="32"/>
          <w14:textFill>
            <w14:solidFill>
              <w14:schemeClr w14:val="tx1"/>
            </w14:solidFill>
          </w14:textFill>
        </w:rPr>
        <w:t>加强区域创新资源集聚和创新基础能力建设，支持省级陶瓷电介质材料研究院、动漫研究院等新型研究机构建设。着力提升科技金融服务中心、科技创新服务中心的服务能力，整合建设“国字号”“省字号”创新大平台。充分发挥好重点实验室、科技公共服务平台、新型科研机构和创新联盟作用，继续完善以科技创新服务中心暨中小微企业创业园为龙头的科技创新服务体系，开展技术研发、检验检测、技术评价、技术交易等专业化服务。</w:t>
      </w:r>
    </w:p>
    <w:p w14:paraId="10E4A649">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促进科技成果落地转化。</w:t>
      </w:r>
      <w:r>
        <w:rPr>
          <w:rFonts w:hint="eastAsia" w:ascii="Times New Roman" w:hAnsi="Times New Roman" w:eastAsia="方正仿宋简体" w:cs="仿宋"/>
          <w:color w:val="000000" w:themeColor="text1"/>
          <w:sz w:val="32"/>
          <w:szCs w:val="32"/>
          <w14:textFill>
            <w14:solidFill>
              <w14:schemeClr w14:val="tx1"/>
            </w14:solidFill>
          </w14:textFill>
        </w:rPr>
        <w:t>强化技术创新市场导向机制，健全促进成果转化机制，支持跨界创新、融合创新。完善科技成果信息发布与共享平台，加大知识产权申请的政策扶持力度。构建全产业链协同创新体系，着力推进领军型企业主导的全链条协同创新，面向技术创新需求，搭建一批专业领域的产业技术研发平台，整合上下游资源构建全产业链技术创新网络，促进产业链结构再造，提升全产业链创新能力。构建创新创业投融资服务体系，建立健全有利于企业自主创新成果产业化的金融服务新模式。</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9"/>
      </w:tblGrid>
      <w:tr w14:paraId="1067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9" w:type="dxa"/>
            <w:shd w:val="clear" w:color="auto" w:fill="auto"/>
          </w:tcPr>
          <w:p w14:paraId="33FCE2F7">
            <w:pPr>
              <w:pStyle w:val="22"/>
              <w:widowControl w:val="0"/>
              <w:shd w:val="clear" w:color="auto" w:fill="FFFFFF"/>
              <w:spacing w:before="0" w:beforeAutospacing="0" w:after="0" w:afterAutospacing="0" w:line="480" w:lineRule="exact"/>
              <w:jc w:val="center"/>
              <w:rPr>
                <w:rFonts w:ascii="Times New Roman" w:hAnsi="Times New Roman" w:eastAsia="方正仿宋简体" w:cs="仿宋"/>
                <w:b/>
                <w:color w:val="000000" w:themeColor="text1"/>
                <w:sz w:val="30"/>
                <w:szCs w:val="30"/>
                <w14:textFill>
                  <w14:solidFill>
                    <w14:schemeClr w14:val="tx1"/>
                  </w14:solidFill>
                </w14:textFill>
              </w:rPr>
            </w:pPr>
            <w:r>
              <w:rPr>
                <w:rFonts w:hint="eastAsia" w:ascii="Times New Roman" w:hAnsi="Times New Roman" w:eastAsia="方正仿宋简体" w:cs="仿宋"/>
                <w:b/>
                <w:color w:val="000000" w:themeColor="text1"/>
                <w:kern w:val="2"/>
                <w:sz w:val="28"/>
                <w:szCs w:val="32"/>
                <w14:textFill>
                  <w14:solidFill>
                    <w14:schemeClr w14:val="tx1"/>
                  </w14:solidFill>
                </w14:textFill>
              </w:rPr>
              <w:t>专栏5 全方位科技创新行动计划</w:t>
            </w:r>
          </w:p>
        </w:tc>
      </w:tr>
      <w:tr w14:paraId="32A5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9" w:type="dxa"/>
            <w:shd w:val="clear" w:color="auto" w:fill="auto"/>
          </w:tcPr>
          <w:p w14:paraId="55D9DC4A">
            <w:pPr>
              <w:widowControl w:val="0"/>
              <w:spacing w:line="480" w:lineRule="exact"/>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创新主体培育工程：</w:t>
            </w:r>
            <w:r>
              <w:rPr>
                <w:rFonts w:hint="eastAsia" w:ascii="Times New Roman" w:hAnsi="Times New Roman" w:eastAsia="方正仿宋简体" w:cs="仿宋"/>
                <w:color w:val="000000" w:themeColor="text1"/>
                <w:szCs w:val="32"/>
                <w14:textFill>
                  <w14:solidFill>
                    <w14:schemeClr w14:val="tx1"/>
                  </w14:solidFill>
                </w14:textFill>
              </w:rPr>
              <w:t>力争至2025年，培育省级高成长企业15家、省级“专精特新”中小企业6家、省级单项冠军6家、省级产业龙头企业5家、省级服务型制造示范企业5家、省级以上文化产业示范基地5家。</w:t>
            </w:r>
          </w:p>
          <w:p w14:paraId="70404019">
            <w:pPr>
              <w:widowControl w:val="0"/>
              <w:spacing w:line="480" w:lineRule="exact"/>
              <w:ind w:firstLine="562" w:firstLineChars="200"/>
              <w:jc w:val="both"/>
              <w:rPr>
                <w:rFonts w:ascii="Times New Roman" w:hAnsi="Times New Roman" w:eastAsia="方正仿宋简体" w:cs="仿宋"/>
                <w:b/>
                <w:color w:val="000000" w:themeColor="text1"/>
                <w:kern w:val="2"/>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创新服务平台提升工程</w:t>
            </w:r>
            <w:r>
              <w:rPr>
                <w:rFonts w:hint="eastAsia" w:ascii="Times New Roman" w:hAnsi="Times New Roman" w:eastAsia="方正仿宋简体" w:cs="仿宋"/>
                <w:color w:val="000000" w:themeColor="text1"/>
                <w:szCs w:val="32"/>
                <w14:textFill>
                  <w14:solidFill>
                    <w14:schemeClr w14:val="tx1"/>
                  </w14:solidFill>
                </w14:textFill>
              </w:rPr>
              <w:t>：至2025年，力争全区引进建设研发机构2家以上，建成各类新型研发机构13家以上，众创空间达到10家以上。</w:t>
            </w:r>
          </w:p>
        </w:tc>
      </w:tr>
    </w:tbl>
    <w:p w14:paraId="7E252986">
      <w:pPr>
        <w:pStyle w:val="3"/>
        <w:keepNext w:val="0"/>
        <w:keepLines w:val="0"/>
        <w:spacing w:before="0" w:after="0" w:line="590" w:lineRule="exact"/>
        <w:jc w:val="center"/>
        <w:rPr>
          <w:rFonts w:ascii="Times New Roman" w:hAnsi="Times New Roman" w:eastAsia="黑体" w:cs="Times New Roman (标题 CS)"/>
          <w:b w:val="0"/>
          <w:color w:val="000000" w:themeColor="text1"/>
          <w14:textFill>
            <w14:solidFill>
              <w14:schemeClr w14:val="tx1"/>
            </w14:solidFill>
          </w14:textFill>
        </w:rPr>
      </w:pPr>
      <w:bookmarkStart w:id="64" w:name="_Toc59811657"/>
      <w:bookmarkStart w:id="65" w:name="_Toc73976143"/>
    </w:p>
    <w:p w14:paraId="4B0EC05A">
      <w:pPr>
        <w:pStyle w:val="3"/>
        <w:keepNext w:val="0"/>
        <w:keepLines w:val="0"/>
        <w:spacing w:before="0" w:after="0" w:line="590" w:lineRule="exact"/>
        <w:jc w:val="center"/>
        <w:rPr>
          <w:rFonts w:ascii="Times New Roman" w:hAnsi="Times New Roman" w:eastAsia="黑体" w:cs="Times New Roman (标题 CS)"/>
          <w:b w:val="0"/>
          <w:color w:val="000000" w:themeColor="text1"/>
          <w14:textFill>
            <w14:solidFill>
              <w14:schemeClr w14:val="tx1"/>
            </w14:solidFill>
          </w14:textFill>
        </w:rPr>
      </w:pPr>
      <w:bookmarkStart w:id="66" w:name="_Toc74035495"/>
      <w:r>
        <w:rPr>
          <w:rFonts w:hint="eastAsia" w:ascii="Times New Roman" w:hAnsi="Times New Roman" w:eastAsia="黑体" w:cs="Times New Roman (标题 CS)"/>
          <w:b w:val="0"/>
          <w:color w:val="000000" w:themeColor="text1"/>
          <w14:textFill>
            <w14:solidFill>
              <w14:schemeClr w14:val="tx1"/>
            </w14:solidFill>
          </w14:textFill>
        </w:rPr>
        <w:t>第四节 全面推进人才强区发展新战略</w:t>
      </w:r>
      <w:bookmarkEnd w:id="64"/>
      <w:bookmarkEnd w:id="65"/>
      <w:bookmarkEnd w:id="66"/>
    </w:p>
    <w:p w14:paraId="3A2C53FD"/>
    <w:p w14:paraId="4158A3A5">
      <w:pPr>
        <w:widowControl w:val="0"/>
        <w:adjustRightInd w:val="0"/>
        <w:snapToGrid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加快培育引进产业亟需人才。</w:t>
      </w:r>
      <w:r>
        <w:rPr>
          <w:rFonts w:hint="eastAsia" w:ascii="Times New Roman" w:hAnsi="Times New Roman" w:eastAsia="方正仿宋简体" w:cs="仿宋"/>
          <w:color w:val="000000" w:themeColor="text1"/>
          <w:sz w:val="32"/>
          <w:szCs w:val="32"/>
          <w14:textFill>
            <w14:solidFill>
              <w14:schemeClr w14:val="tx1"/>
            </w14:solidFill>
          </w14:textFill>
        </w:rPr>
        <w:t>按政府引导、用人单位为主体、人才资源市场化配置原则，优化人才培养模式。围绕重点产业紧缺型人才需求，突出“高精尖缺”导向，落实人才“港湾计划”，实施“领军人才+创新团队+创新项目”的引才模式，靶向引进产业紧缺高层次人才。鼓励境内外高层次创新创业人才带技术、专利、项目及团队来鲤创新创业。以高新技术产业园区、产业技术创新联盟、企业技术中心等为载体，加快培养集聚一批科技领军人才、高技能人才和企业家人才。至2025年，力争引进2个高层次人才团队，培养引进500名泉州市高层次人才。</w:t>
      </w:r>
    </w:p>
    <w:p w14:paraId="6727CF5B">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加强载体平台建设管理力度。</w:t>
      </w:r>
      <w:r>
        <w:rPr>
          <w:rFonts w:hint="eastAsia" w:ascii="Times New Roman" w:hAnsi="Times New Roman" w:eastAsia="方正仿宋简体" w:cs="仿宋"/>
          <w:color w:val="000000" w:themeColor="text1"/>
          <w:sz w:val="32"/>
          <w:szCs w:val="32"/>
          <w14:textFill>
            <w14:solidFill>
              <w14:schemeClr w14:val="tx1"/>
            </w14:solidFill>
          </w14:textFill>
        </w:rPr>
        <w:t>加强院士（专家）工作站、教授工作站、博士后科研工作站、博士后创新实践基地以及各类研发中心、技术中心、重点实验室等创新人才载体建设和平台管理，策划人力资源产业园区等一批项目，服务人才发展。依托鲤城区公益性中高级人才招聘洽谈会等平台，畅通引才引智渠道，鼓励通过项目合作、技术入股、短期兼职、周末工程师等方式汇聚一批“候鸟型”“海鸥型”中高级智力资源。依托泉州职业教育优势，实施专业技术人才知识更新工程，培养形成一支素质和技能“双高”人才队伍。鼓励区内高校、院所、企业建设智能制造实训基地，培养高素质技术技能人才，满足产业发展需求。</w:t>
      </w:r>
    </w:p>
    <w:p w14:paraId="218ABC9B">
      <w:pPr>
        <w:widowControl w:val="0"/>
        <w:spacing w:line="590" w:lineRule="exact"/>
        <w:ind w:firstLine="643" w:firstLineChars="200"/>
        <w:jc w:val="both"/>
        <w:rPr>
          <w:rFonts w:ascii="Times New Roman" w:hAnsi="Times New Roman" w:eastAsia="方正仿宋简体" w:cs="仿宋"/>
          <w:b/>
          <w:bCs/>
          <w:color w:val="000000" w:themeColor="text1"/>
          <w:sz w:val="32"/>
          <w:szCs w:val="32"/>
          <w14:textFill>
            <w14:solidFill>
              <w14:schemeClr w14:val="tx1"/>
            </w14:solidFill>
          </w14:textFill>
        </w:rPr>
      </w:pPr>
      <w:r>
        <w:rPr>
          <w:rFonts w:hint="eastAsia" w:ascii="Times New Roman" w:hAnsi="Times New Roman" w:eastAsia="方正仿宋简体" w:cs="仿宋"/>
          <w:b/>
          <w:bCs/>
          <w:color w:val="000000" w:themeColor="text1"/>
          <w:sz w:val="32"/>
          <w:szCs w:val="32"/>
          <w14:textFill>
            <w14:solidFill>
              <w14:schemeClr w14:val="tx1"/>
            </w14:solidFill>
          </w14:textFill>
        </w:rPr>
        <w:t>提升人才创新发展环境水平。</w:t>
      </w:r>
      <w:bookmarkStart w:id="67" w:name="_Hlk59458323"/>
      <w:r>
        <w:rPr>
          <w:rFonts w:hint="eastAsia" w:ascii="Times New Roman" w:hAnsi="Times New Roman" w:eastAsia="方正仿宋简体" w:cs="仿宋"/>
          <w:color w:val="000000" w:themeColor="text1"/>
          <w:sz w:val="32"/>
          <w:szCs w:val="32"/>
          <w14:textFill>
            <w14:solidFill>
              <w14:schemeClr w14:val="tx1"/>
            </w14:solidFill>
          </w14:textFill>
        </w:rPr>
        <w:t>深入推进人才发展体制机制改革和政策创新，建立具有区域竞争力的人才发展体系和公共人才服务体系，把我区建设成为充满活力的人才高地。</w:t>
      </w:r>
      <w:bookmarkEnd w:id="67"/>
      <w:r>
        <w:rPr>
          <w:rFonts w:hint="eastAsia" w:ascii="Times New Roman" w:hAnsi="Times New Roman" w:eastAsia="方正仿宋简体" w:cs="仿宋"/>
          <w:color w:val="000000" w:themeColor="text1"/>
          <w:sz w:val="32"/>
          <w:szCs w:val="32"/>
          <w14:textFill>
            <w14:solidFill>
              <w14:schemeClr w14:val="tx1"/>
            </w14:solidFill>
          </w14:textFill>
        </w:rPr>
        <w:t>依法赋予创新领军人才更大的人财物支配权、技术路线决策权。确立人才服务市场化、社会化导向，提高人才服务管理水平，构建统一开放、竞争有序的人力资源市场，健全人才评价发展机制。完善科技评审奖励制度，制定国际人才引进计划，简化外籍人员开办创新性企业审批流程。完善人才评价激励机制和服务保障体系。实行以增加知识价值为导向的分配政策，拓宽科技人员服务基层渠道。</w:t>
      </w:r>
    </w:p>
    <w:p w14:paraId="3BE24146">
      <w:pPr>
        <w:widowControl w:val="0"/>
        <w:spacing w:line="58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sectPr>
          <w:pgSz w:w="11900" w:h="16840"/>
          <w:pgMar w:top="1928" w:right="1474" w:bottom="1701" w:left="1588" w:header="851" w:footer="992" w:gutter="0"/>
          <w:cols w:space="425" w:num="1"/>
          <w:docGrid w:type="lines" w:linePitch="423" w:charSpace="0"/>
        </w:sectPr>
      </w:pPr>
    </w:p>
    <w:p w14:paraId="62622F82">
      <w:pPr>
        <w:pStyle w:val="2"/>
        <w:spacing w:after="0" w:line="590" w:lineRule="exact"/>
        <w:ind w:firstLine="0" w:firstLineChars="0"/>
        <w:jc w:val="center"/>
        <w:rPr>
          <w:rFonts w:ascii="黑体" w:hAnsi="黑体"/>
          <w:b w:val="0"/>
          <w:bCs/>
          <w:color w:val="000000" w:themeColor="text1"/>
          <w:sz w:val="36"/>
          <w14:textFill>
            <w14:solidFill>
              <w14:schemeClr w14:val="tx1"/>
            </w14:solidFill>
          </w14:textFill>
        </w:rPr>
      </w:pPr>
      <w:bookmarkStart w:id="68" w:name="_Toc73976144"/>
      <w:bookmarkStart w:id="69" w:name="_Toc74035496"/>
      <w:bookmarkStart w:id="70" w:name="_Toc59811658"/>
      <w:bookmarkStart w:id="71" w:name="_Hlk48929869"/>
      <w:r>
        <w:rPr>
          <w:rFonts w:hint="eastAsia" w:ascii="黑体" w:hAnsi="黑体"/>
          <w:b w:val="0"/>
          <w:bCs/>
          <w:color w:val="000000" w:themeColor="text1"/>
          <w:sz w:val="36"/>
          <w14:textFill>
            <w14:solidFill>
              <w14:schemeClr w14:val="tx1"/>
            </w14:solidFill>
          </w14:textFill>
        </w:rPr>
        <w:t>第四章 协调发展，构建城市空间协同新局面</w:t>
      </w:r>
      <w:bookmarkEnd w:id="68"/>
      <w:bookmarkEnd w:id="69"/>
      <w:bookmarkEnd w:id="70"/>
    </w:p>
    <w:p w14:paraId="23873D5F">
      <w:pPr>
        <w:widowControl w:val="0"/>
      </w:pPr>
    </w:p>
    <w:p w14:paraId="2C9087FC">
      <w:pPr>
        <w:widowControl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bookmarkStart w:id="72" w:name="_Hlk59814985"/>
      <w:r>
        <w:rPr>
          <w:rFonts w:hint="eastAsia" w:ascii="Times New Roman" w:hAnsi="Times New Roman" w:eastAsia="方正仿宋简体" w:cs="仿宋"/>
          <w:color w:val="000000" w:themeColor="text1"/>
          <w:sz w:val="32"/>
          <w:szCs w:val="32"/>
          <w14:textFill>
            <w14:solidFill>
              <w14:schemeClr w14:val="tx1"/>
            </w14:solidFill>
          </w14:textFill>
        </w:rPr>
        <w:t>立足城市发展现状，以功能分区为统领，合理划定城市主体功能区，不断优化城市建设、产业空间布局等，推进古城新区协调发展，打造“双城区并举、双引擎驱动”的发展格局，加快鲤城区四大板块建设，加快推进“跨江发展、跨域融合”，形成经济高质量发展新合力。</w:t>
      </w:r>
    </w:p>
    <w:p w14:paraId="18C24730">
      <w:pPr>
        <w:widowControl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bookmarkEnd w:id="72"/>
    <w:p w14:paraId="04F578E5">
      <w:pPr>
        <w:pStyle w:val="3"/>
        <w:keepNext w:val="0"/>
        <w:keepLines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73" w:name="_Toc74035497"/>
      <w:bookmarkStart w:id="74" w:name="_Toc73976145"/>
      <w:bookmarkStart w:id="75" w:name="_Toc59811659"/>
      <w:r>
        <w:rPr>
          <w:rFonts w:hint="eastAsia" w:ascii="黑体" w:hAnsi="黑体" w:eastAsia="黑体" w:cs="Times New Roman (标题 CS)"/>
          <w:b w:val="0"/>
          <w:color w:val="000000" w:themeColor="text1"/>
          <w14:textFill>
            <w14:solidFill>
              <w14:schemeClr w14:val="tx1"/>
            </w14:solidFill>
          </w14:textFill>
        </w:rPr>
        <w:t>第一节 划定城市主体功能分区</w:t>
      </w:r>
      <w:bookmarkEnd w:id="73"/>
      <w:bookmarkEnd w:id="74"/>
      <w:bookmarkEnd w:id="75"/>
    </w:p>
    <w:p w14:paraId="28DA7291">
      <w:pPr>
        <w:widowControl w:val="0"/>
      </w:pPr>
    </w:p>
    <w:p w14:paraId="13EC15FC">
      <w:pPr>
        <w:widowControl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按照“生产空间集约高效、生活空间宜居适度、生态空间山清水秀”原则，加快推动城市空间格局由中心城区功能过度集中向多功能区域共同支撑转变，构建要素有序自由流动、主体功能约束有效、资源环境可承载的发展新格局。根据当前不同区域的生态承载功能和现有开发强度，将鲤城划分为优化提升区、重点开发区、协调发展区、生态保护区四类主体功能区，并实施分区分类管理的政策。</w:t>
      </w:r>
    </w:p>
    <w:p w14:paraId="325BBE2D">
      <w:pPr>
        <w:pStyle w:val="49"/>
        <w:spacing w:line="590" w:lineRule="exact"/>
        <w:ind w:firstLine="643" w:firstLineChars="200"/>
        <w:rPr>
          <w:rFonts w:ascii="Times New Roman" w:eastAsia="方正仿宋简体"/>
          <w:color w:val="000000" w:themeColor="text1"/>
          <w:kern w:val="0"/>
          <w14:textFill>
            <w14:solidFill>
              <w14:schemeClr w14:val="tx1"/>
            </w14:solidFill>
          </w14:textFill>
        </w:rPr>
      </w:pPr>
      <w:r>
        <w:rPr>
          <w:rFonts w:hint="eastAsia" w:ascii="Times New Roman" w:eastAsia="方正仿宋简体"/>
          <w:b/>
          <w:color w:val="000000" w:themeColor="text1"/>
          <w:kern w:val="0"/>
          <w14:textFill>
            <w14:solidFill>
              <w14:schemeClr w14:val="tx1"/>
            </w14:solidFill>
          </w14:textFill>
        </w:rPr>
        <w:t>——优化提升区：</w:t>
      </w:r>
      <w:r>
        <w:rPr>
          <w:rFonts w:hint="eastAsia" w:ascii="Times New Roman" w:eastAsia="方正仿宋简体"/>
          <w:color w:val="000000" w:themeColor="text1"/>
          <w:kern w:val="0"/>
          <w14:textFill>
            <w14:solidFill>
              <w14:schemeClr w14:val="tx1"/>
            </w14:solidFill>
          </w14:textFill>
        </w:rPr>
        <w:t>主要分布在开发强度较高、人口密度和交通负荷过大、资源环境容量接近饱和的古城区和已经开发完成的江南区域，严格控制城市建筑容积率和开发密度，重点加强历史文化名城保护和生态环境建设，完善公共服务配套，着力提升城市品质和综合服务功能。着重转变经济发展方式，优化产业结构和城市空间布局，加快老旧小区改造，注重城市文脉延续，提升城市文化内涵。</w:t>
      </w:r>
    </w:p>
    <w:p w14:paraId="7AB34A3D">
      <w:pPr>
        <w:pStyle w:val="22"/>
        <w:widowControl w:val="0"/>
        <w:spacing w:before="0" w:beforeAutospacing="0" w:after="0" w:afterAutospacing="0"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——重点开发区：</w:t>
      </w:r>
      <w:r>
        <w:rPr>
          <w:rFonts w:hint="eastAsia" w:ascii="Times New Roman" w:hAnsi="Times New Roman" w:eastAsia="方正仿宋简体" w:cs="仿宋"/>
          <w:color w:val="000000" w:themeColor="text1"/>
          <w:sz w:val="32"/>
          <w:szCs w:val="32"/>
          <w14:textFill>
            <w14:solidFill>
              <w14:schemeClr w14:val="tx1"/>
            </w14:solidFill>
          </w14:textFill>
        </w:rPr>
        <w:t>主要集中在产业基础好、承载能力强、开发潜力大、能够大规模集聚产业和人口的繁荣片区、站前大道西侧片区、兴贤路北侧片区等区域。围绕片区开发改造，着重加强城市建设、产业发展，提高创新能力和产业集聚力，承接优质产业转移，提高城市综合实力和人口集聚能力，推动经</w:t>
      </w:r>
      <w:bookmarkStart w:id="76" w:name="_Toc430525636"/>
      <w:bookmarkStart w:id="77" w:name="_Toc432150165"/>
      <w:r>
        <w:rPr>
          <w:rFonts w:hint="eastAsia" w:ascii="Times New Roman" w:hAnsi="Times New Roman" w:eastAsia="方正仿宋简体" w:cs="仿宋"/>
          <w:color w:val="000000" w:themeColor="text1"/>
          <w:sz w:val="32"/>
          <w:szCs w:val="32"/>
          <w14:textFill>
            <w14:solidFill>
              <w14:schemeClr w14:val="tx1"/>
            </w14:solidFill>
          </w14:textFill>
        </w:rPr>
        <w:t>济社会可持续</w:t>
      </w:r>
      <w:bookmarkEnd w:id="76"/>
      <w:bookmarkEnd w:id="77"/>
      <w:r>
        <w:rPr>
          <w:rFonts w:hint="eastAsia" w:ascii="Times New Roman" w:hAnsi="Times New Roman" w:eastAsia="方正仿宋简体" w:cs="仿宋"/>
          <w:color w:val="000000" w:themeColor="text1"/>
          <w:sz w:val="32"/>
          <w:szCs w:val="32"/>
          <w14:textFill>
            <w14:solidFill>
              <w14:schemeClr w14:val="tx1"/>
            </w14:solidFill>
          </w14:textFill>
        </w:rPr>
        <w:t>发展，成为支撑全区经济发展的重要增长极。</w:t>
      </w:r>
    </w:p>
    <w:p w14:paraId="0B88A948">
      <w:pPr>
        <w:pStyle w:val="22"/>
        <w:widowControl w:val="0"/>
        <w:spacing w:before="0" w:beforeAutospacing="0" w:after="0" w:afterAutospacing="0"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——协调发展区：</w:t>
      </w:r>
      <w:r>
        <w:rPr>
          <w:rFonts w:hint="eastAsia" w:ascii="Times New Roman" w:hAnsi="Times New Roman" w:eastAsia="方正仿宋简体" w:cs="仿宋"/>
          <w:color w:val="000000" w:themeColor="text1"/>
          <w:sz w:val="32"/>
          <w:szCs w:val="32"/>
          <w14:textFill>
            <w14:solidFill>
              <w14:schemeClr w14:val="tx1"/>
            </w14:solidFill>
          </w14:textFill>
        </w:rPr>
        <w:t>主要分布在资源环境承载能力较弱、大规模集聚经济和人口的条件有限、关系区域生态安全的晋江两岸和紫帽山等部分区域，强化生态保护与环境整治，因地制宜发展资源环境可承载的特色产业。在滨江两岸、浅山区域等生态脆弱区域，加强城市功能统筹，综合协调生态、文化、产业、城市建设等多方面功能，优化空间结构，提升城市环境，控制开发速度。</w:t>
      </w:r>
    </w:p>
    <w:p w14:paraId="39F192EF">
      <w:pPr>
        <w:pStyle w:val="22"/>
        <w:widowControl w:val="0"/>
        <w:spacing w:before="0" w:beforeAutospacing="0" w:after="0" w:afterAutospacing="0"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——生态保护区：</w:t>
      </w:r>
      <w:r>
        <w:rPr>
          <w:rFonts w:hint="eastAsia" w:ascii="Times New Roman" w:hAnsi="Times New Roman" w:eastAsia="方正仿宋简体" w:cs="仿宋"/>
          <w:color w:val="000000" w:themeColor="text1"/>
          <w:sz w:val="32"/>
          <w:szCs w:val="32"/>
          <w14:textFill>
            <w14:solidFill>
              <w14:schemeClr w14:val="tx1"/>
            </w14:solidFill>
          </w14:textFill>
        </w:rPr>
        <w:t>主要包括水源保护地、风景名胜区、滞洪区、滨江生态公园、坡度大于25%和相对高差大于50米的山体，以及对维护生态系统完整性具有重要作用的生态廊道和隔离绿地。生态控制线内按照“保护为主、合理开发、严控强度”的原则，推动自然保育、适度发展旅游休闲和生态农业等。在生态保护区内要构建“山、江、城”相融的空间格局，按照相关法律法规加强保护，引导人口有序转移，严格林地、坡地、水源保护</w:t>
      </w:r>
      <w:bookmarkStart w:id="78" w:name="_Toc432150166"/>
      <w:r>
        <w:rPr>
          <w:rFonts w:hint="eastAsia" w:ascii="Times New Roman" w:hAnsi="Times New Roman" w:eastAsia="方正仿宋简体" w:cs="仿宋"/>
          <w:color w:val="000000" w:themeColor="text1"/>
          <w:sz w:val="32"/>
          <w:szCs w:val="32"/>
          <w14:textFill>
            <w14:solidFill>
              <w14:schemeClr w14:val="tx1"/>
            </w14:solidFill>
          </w14:textFill>
        </w:rPr>
        <w:t>地等生态</w:t>
      </w:r>
      <w:bookmarkEnd w:id="78"/>
      <w:r>
        <w:rPr>
          <w:rFonts w:hint="eastAsia" w:ascii="Times New Roman" w:hAnsi="Times New Roman" w:eastAsia="方正仿宋简体" w:cs="仿宋"/>
          <w:color w:val="000000" w:themeColor="text1"/>
          <w:sz w:val="32"/>
          <w:szCs w:val="32"/>
          <w14:textFill>
            <w14:solidFill>
              <w14:schemeClr w14:val="tx1"/>
            </w14:solidFill>
          </w14:textFill>
        </w:rPr>
        <w:t>保护，禁止开发。</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3"/>
      </w:tblGrid>
      <w:tr w14:paraId="5EAB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3" w:type="dxa"/>
            <w:shd w:val="clear" w:color="auto" w:fill="auto"/>
          </w:tcPr>
          <w:p w14:paraId="3F140CA8">
            <w:pPr>
              <w:pStyle w:val="22"/>
              <w:widowControl w:val="0"/>
              <w:shd w:val="clear" w:color="auto" w:fill="FFFFFF"/>
              <w:spacing w:before="0" w:beforeAutospacing="0" w:after="0" w:afterAutospacing="0" w:line="480" w:lineRule="exact"/>
              <w:jc w:val="center"/>
              <w:rPr>
                <w:rFonts w:ascii="Times New Roman" w:hAnsi="Times New Roman" w:eastAsia="方正仿宋简体" w:cs="仿宋"/>
                <w:b/>
                <w:color w:val="000000" w:themeColor="text1"/>
                <w:sz w:val="30"/>
                <w:szCs w:val="30"/>
                <w14:textFill>
                  <w14:solidFill>
                    <w14:schemeClr w14:val="tx1"/>
                  </w14:solidFill>
                </w14:textFill>
              </w:rPr>
            </w:pPr>
            <w:r>
              <w:rPr>
                <w:rFonts w:hint="eastAsia" w:ascii="Times New Roman" w:hAnsi="Times New Roman" w:eastAsia="方正仿宋简体" w:cs="仿宋"/>
                <w:b/>
                <w:color w:val="000000" w:themeColor="text1"/>
                <w:kern w:val="2"/>
                <w:sz w:val="28"/>
                <w:szCs w:val="32"/>
                <w14:textFill>
                  <w14:solidFill>
                    <w14:schemeClr w14:val="tx1"/>
                  </w14:solidFill>
                </w14:textFill>
              </w:rPr>
              <w:t>专栏6 统筹规划城市用地，优化产业发展空间</w:t>
            </w:r>
          </w:p>
        </w:tc>
      </w:tr>
      <w:tr w14:paraId="4AD3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3" w:type="dxa"/>
            <w:shd w:val="clear" w:color="auto" w:fill="auto"/>
          </w:tcPr>
          <w:p w14:paraId="32DBD344">
            <w:pPr>
              <w:widowControl w:val="0"/>
              <w:spacing w:line="480" w:lineRule="exact"/>
              <w:ind w:firstLine="562" w:firstLineChars="200"/>
              <w:jc w:val="both"/>
              <w:rPr>
                <w:rFonts w:ascii="Times New Roman" w:hAnsi="Times New Roman" w:eastAsia="方正仿宋简体" w:cs="仿宋"/>
                <w:color w:val="000000" w:themeColor="text1"/>
                <w:kern w:val="2"/>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kern w:val="2"/>
                <w:szCs w:val="32"/>
                <w14:textFill>
                  <w14:solidFill>
                    <w14:schemeClr w14:val="tx1"/>
                  </w14:solidFill>
                </w14:textFill>
              </w:rPr>
              <w:t>统筹古城空间利用。</w:t>
            </w:r>
            <w:r>
              <w:rPr>
                <w:rFonts w:hint="eastAsia" w:ascii="Times New Roman" w:hAnsi="Times New Roman" w:eastAsia="方正仿宋简体" w:cs="仿宋"/>
                <w:color w:val="000000" w:themeColor="text1"/>
                <w:kern w:val="2"/>
                <w:szCs w:val="32"/>
                <w14:textFill>
                  <w14:solidFill>
                    <w14:schemeClr w14:val="tx1"/>
                  </w14:solidFill>
                </w14:textFill>
              </w:rPr>
              <w:t>合理规划与利用古城腾退的空间，重点发展符合古城功能定位、附加值高、产出能力强、资本知识密集的高端业态，实现土地空间效率的显著提升。推进城市规划、产业规划与土地利用规划的对接，统筹协调全域范围内可利用的土地资源，进行空间布局的统一规划、用途的调整与更新。</w:t>
            </w:r>
          </w:p>
          <w:p w14:paraId="178E1F73">
            <w:pPr>
              <w:pStyle w:val="22"/>
              <w:widowControl w:val="0"/>
              <w:shd w:val="clear" w:color="auto" w:fill="FFFFFF"/>
              <w:spacing w:before="0" w:beforeAutospacing="0" w:after="0" w:afterAutospacing="0" w:line="480" w:lineRule="exact"/>
              <w:ind w:firstLine="562" w:firstLineChars="200"/>
              <w:jc w:val="both"/>
              <w:rPr>
                <w:rFonts w:ascii="Times New Roman" w:hAnsi="Times New Roman" w:eastAsia="方正仿宋简体" w:cs="仿宋"/>
                <w:color w:val="000000" w:themeColor="text1"/>
                <w:kern w:val="2"/>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kern w:val="2"/>
                <w:szCs w:val="32"/>
                <w14:textFill>
                  <w14:solidFill>
                    <w14:schemeClr w14:val="tx1"/>
                  </w14:solidFill>
                </w14:textFill>
              </w:rPr>
              <w:t>推进新区集约开发。</w:t>
            </w:r>
            <w:r>
              <w:rPr>
                <w:rFonts w:hint="eastAsia" w:ascii="Times New Roman" w:hAnsi="Times New Roman" w:eastAsia="方正仿宋简体" w:cs="仿宋"/>
                <w:color w:val="000000" w:themeColor="text1"/>
                <w:kern w:val="2"/>
                <w:szCs w:val="32"/>
                <w14:textFill>
                  <w14:solidFill>
                    <w14:schemeClr w14:val="tx1"/>
                  </w14:solidFill>
                </w14:textFill>
              </w:rPr>
              <w:t>探索建立新区闲置、低效土地的二次开发利用统筹机制，推动低效土地业态置换。重视盘活闲置工业厂房、</w:t>
            </w:r>
            <w:r>
              <w:rPr>
                <w:rFonts w:hint="eastAsia" w:ascii="Times New Roman" w:hAnsi="Times New Roman" w:eastAsia="方正仿宋简体" w:cs="仿宋"/>
                <w:color w:val="000000" w:themeColor="text1"/>
                <w:szCs w:val="32"/>
                <w14:textFill>
                  <w14:solidFill>
                    <w14:schemeClr w14:val="tx1"/>
                  </w14:solidFill>
                </w14:textFill>
              </w:rPr>
              <w:t>低效存量工业用地，避免闲置厂房成为群租厂、低端业态的集中点。</w:t>
            </w:r>
            <w:r>
              <w:rPr>
                <w:rFonts w:hint="eastAsia" w:ascii="Times New Roman" w:hAnsi="Times New Roman" w:eastAsia="方正仿宋简体" w:cs="仿宋"/>
                <w:color w:val="000000" w:themeColor="text1"/>
                <w:kern w:val="2"/>
                <w:szCs w:val="32"/>
                <w14:textFill>
                  <w14:solidFill>
                    <w14:schemeClr w14:val="tx1"/>
                  </w14:solidFill>
                </w14:textFill>
              </w:rPr>
              <w:t>建立政府优先购买、准入资格审查和转让增值分配等机制。围绕重点功能区，实现产业用地集中开发，提升优势资源产出能力，</w:t>
            </w:r>
            <w:r>
              <w:rPr>
                <w:rFonts w:hint="eastAsia" w:ascii="Times New Roman" w:hAnsi="Times New Roman" w:eastAsia="方正仿宋简体" w:cs="仿宋"/>
                <w:color w:val="000000" w:themeColor="text1"/>
                <w:szCs w:val="32"/>
                <w14:textFill>
                  <w14:solidFill>
                    <w14:schemeClr w14:val="tx1"/>
                  </w14:solidFill>
                </w14:textFill>
              </w:rPr>
              <w:t>提高土地利用效率；优化产业空间布局，保障城市发展空间。</w:t>
            </w:r>
          </w:p>
          <w:p w14:paraId="7030463C">
            <w:pPr>
              <w:pStyle w:val="22"/>
              <w:widowControl w:val="0"/>
              <w:shd w:val="clear" w:color="auto" w:fill="FFFFFF"/>
              <w:spacing w:before="0" w:beforeAutospacing="0" w:after="0" w:afterAutospacing="0" w:line="480" w:lineRule="exact"/>
              <w:ind w:firstLine="562" w:firstLineChars="200"/>
              <w:jc w:val="both"/>
              <w:rPr>
                <w:rFonts w:ascii="Times New Roman" w:hAnsi="Times New Roman" w:eastAsia="方正仿宋简体" w:cs="仿宋"/>
                <w:color w:val="000000" w:themeColor="text1"/>
                <w:kern w:val="2"/>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kern w:val="2"/>
                <w:szCs w:val="32"/>
                <w14:textFill>
                  <w14:solidFill>
                    <w14:schemeClr w14:val="tx1"/>
                  </w14:solidFill>
                </w14:textFill>
              </w:rPr>
              <w:t>提升城市承载能力。</w:t>
            </w:r>
            <w:r>
              <w:rPr>
                <w:rFonts w:hint="eastAsia" w:ascii="Times New Roman" w:hAnsi="Times New Roman" w:eastAsia="方正仿宋简体" w:cs="仿宋"/>
                <w:color w:val="000000" w:themeColor="text1"/>
                <w:kern w:val="2"/>
                <w:szCs w:val="32"/>
                <w14:textFill>
                  <w14:solidFill>
                    <w14:schemeClr w14:val="tx1"/>
                  </w14:solidFill>
                </w14:textFill>
              </w:rPr>
              <w:t>围绕城市开发建设，建立绿色智能交通体系，完善内部交通网络，加大新型基础设施投入建设，继续完善水电气等市政设施的配套工程建设，推动节能环保技术的应用与设备改造。优化城市商务设施配套、生活服务配套、公共服务配套、生态景观等设施环境，提升城市的综合承载能力。</w:t>
            </w:r>
          </w:p>
        </w:tc>
      </w:tr>
    </w:tbl>
    <w:p w14:paraId="4B72408F">
      <w:pPr>
        <w:pStyle w:val="3"/>
        <w:keepNext w:val="0"/>
        <w:keepLines w:val="0"/>
        <w:spacing w:before="0" w:after="0" w:line="590" w:lineRule="exact"/>
        <w:jc w:val="center"/>
        <w:rPr>
          <w:rFonts w:ascii="Times New Roman" w:hAnsi="Times New Roman" w:eastAsia="黑体" w:cs="Times New Roman (标题 CS)"/>
          <w:b w:val="0"/>
          <w:color w:val="000000" w:themeColor="text1"/>
          <w14:textFill>
            <w14:solidFill>
              <w14:schemeClr w14:val="tx1"/>
            </w14:solidFill>
          </w14:textFill>
        </w:rPr>
      </w:pPr>
      <w:bookmarkStart w:id="79" w:name="_Toc73976146"/>
      <w:bookmarkStart w:id="80" w:name="_Toc59811660"/>
    </w:p>
    <w:p w14:paraId="0EC58043">
      <w:pPr>
        <w:pStyle w:val="3"/>
        <w:keepNext w:val="0"/>
        <w:keepLines w:val="0"/>
        <w:spacing w:before="0" w:after="0" w:line="590" w:lineRule="exact"/>
        <w:jc w:val="center"/>
        <w:rPr>
          <w:rFonts w:ascii="Times New Roman" w:hAnsi="Times New Roman" w:eastAsia="黑体" w:cs="Times New Roman (标题 CS)"/>
          <w:b w:val="0"/>
          <w:color w:val="000000" w:themeColor="text1"/>
          <w14:textFill>
            <w14:solidFill>
              <w14:schemeClr w14:val="tx1"/>
            </w14:solidFill>
          </w14:textFill>
        </w:rPr>
      </w:pPr>
      <w:bookmarkStart w:id="81" w:name="_Toc74035498"/>
      <w:r>
        <w:rPr>
          <w:rFonts w:hint="eastAsia" w:ascii="Times New Roman" w:hAnsi="Times New Roman" w:eastAsia="黑体" w:cs="Times New Roman (标题 CS)"/>
          <w:b w:val="0"/>
          <w:color w:val="000000" w:themeColor="text1"/>
          <w14:textFill>
            <w14:solidFill>
              <w14:schemeClr w14:val="tx1"/>
            </w14:solidFill>
          </w14:textFill>
        </w:rPr>
        <w:t>第二节 优化区域产业空间布局</w:t>
      </w:r>
      <w:bookmarkEnd w:id="79"/>
      <w:bookmarkEnd w:id="80"/>
      <w:bookmarkEnd w:id="81"/>
    </w:p>
    <w:p w14:paraId="7769FA65"/>
    <w:p w14:paraId="6A510B83">
      <w:pPr>
        <w:widowControl w:val="0"/>
        <w:spacing w:line="590" w:lineRule="exact"/>
        <w:ind w:firstLine="640" w:firstLineChars="200"/>
        <w:jc w:val="both"/>
        <w:rPr>
          <w:rFonts w:ascii="Times New Roman" w:hAnsi="Times New Roman" w:eastAsia="方正仿宋简体" w:cs="仿宋"/>
          <w:bCs/>
          <w:color w:val="000000" w:themeColor="text1"/>
          <w:sz w:val="32"/>
          <w:szCs w:val="32"/>
          <w14:textFill>
            <w14:solidFill>
              <w14:schemeClr w14:val="tx1"/>
            </w14:solidFill>
          </w14:textFill>
        </w:rPr>
      </w:pPr>
      <w:r>
        <w:rPr>
          <w:rFonts w:hint="eastAsia" w:ascii="Times New Roman" w:hAnsi="Times New Roman" w:eastAsia="方正仿宋简体" w:cs="仿宋"/>
          <w:bCs/>
          <w:color w:val="000000" w:themeColor="text1"/>
          <w:sz w:val="32"/>
          <w:szCs w:val="32"/>
          <w14:textFill>
            <w14:solidFill>
              <w14:schemeClr w14:val="tx1"/>
            </w14:solidFill>
          </w14:textFill>
        </w:rPr>
        <w:t>站位泉州中心主城区，统筹规划、协调推进，凸显“一山一水一城”三大特色优势，以自然为美，把好山好水好风光融入城市建设，以10公里长的母亲河作为衔接古城新区的活力纽带，主动融入大泉州环湾建设中，着力发展古城文旅活力板块、滨江商务服务板块、中部产居融合板块和浅山产业提升板块。</w:t>
      </w:r>
    </w:p>
    <w:p w14:paraId="3A51EF6C">
      <w:pPr>
        <w:widowControl w:val="0"/>
        <w:spacing w:line="590" w:lineRule="exact"/>
        <w:ind w:firstLine="643" w:firstLineChars="200"/>
        <w:jc w:val="both"/>
        <w:rPr>
          <w:rFonts w:ascii="Times New Roman" w:hAnsi="Times New Roman" w:eastAsia="方正仿宋简体" w:cs="仿宋"/>
          <w:bCs/>
          <w:color w:val="000000" w:themeColor="text1"/>
          <w:sz w:val="32"/>
          <w:szCs w:val="32"/>
          <w14:textFill>
            <w14:solidFill>
              <w14:schemeClr w14:val="tx1"/>
            </w14:solidFill>
          </w14:textFill>
        </w:rPr>
      </w:pPr>
      <w:r>
        <w:rPr>
          <w:rFonts w:hint="eastAsia" w:ascii="Times New Roman" w:hAnsi="Times New Roman" w:eastAsia="方正仿宋简体" w:cs="仿宋"/>
          <w:b/>
          <w:bCs/>
          <w:color w:val="000000" w:themeColor="text1"/>
          <w:sz w:val="32"/>
          <w:szCs w:val="32"/>
          <w14:textFill>
            <w14:solidFill>
              <w14:schemeClr w14:val="tx1"/>
            </w14:solidFill>
          </w14:textFill>
        </w:rPr>
        <w:t>古城文旅活力板块：</w:t>
      </w:r>
      <w:r>
        <w:rPr>
          <w:rFonts w:hint="eastAsia" w:ascii="Times New Roman" w:hAnsi="Times New Roman" w:eastAsia="方正仿宋简体"/>
          <w:color w:val="000000" w:themeColor="text1"/>
          <w:sz w:val="32"/>
          <w:szCs w:val="32"/>
          <w14:textFill>
            <w14:solidFill>
              <w14:schemeClr w14:val="tx1"/>
            </w14:solidFill>
          </w14:textFill>
        </w:rPr>
        <w:t>有序推进6.41平方公里古城的保护提升修复计划，以老城区优质医疗、教育等资源带动江南新区公共配套全面升级，逐步减少古城非文旅功能设施，稀释居民密度，解决交通拥堵等问题，拓展发展新空间。</w:t>
      </w:r>
      <w:r>
        <w:rPr>
          <w:rFonts w:hint="eastAsia" w:ascii="Times New Roman" w:hAnsi="Times New Roman" w:eastAsia="方正仿宋简体" w:cs="仿宋"/>
          <w:color w:val="000000" w:themeColor="text1"/>
          <w:sz w:val="32"/>
          <w:szCs w:val="32"/>
          <w14:textFill>
            <w14:solidFill>
              <w14:schemeClr w14:val="tx1"/>
            </w14:solidFill>
          </w14:textFill>
        </w:rPr>
        <w:t>重点打造古城片区文旅休闲活力核，</w:t>
      </w:r>
      <w:r>
        <w:rPr>
          <w:rFonts w:hint="eastAsia" w:ascii="Times New Roman" w:hAnsi="Times New Roman" w:eastAsia="方正仿宋简体" w:cs="仿宋"/>
          <w:bCs/>
          <w:color w:val="000000" w:themeColor="text1"/>
          <w:sz w:val="32"/>
          <w:szCs w:val="32"/>
          <w14:textFill>
            <w14:solidFill>
              <w14:schemeClr w14:val="tx1"/>
            </w14:solidFill>
          </w14:textFill>
        </w:rPr>
        <w:t>围绕中山路、打锡街、南俊巷、东街“回字形”传统商贸核心街区</w:t>
      </w:r>
      <w:r>
        <w:rPr>
          <w:rFonts w:hint="eastAsia" w:ascii="Times New Roman" w:hAnsi="Times New Roman" w:eastAsia="方正仿宋简体" w:cs="仿宋"/>
          <w:color w:val="000000" w:themeColor="text1"/>
          <w:sz w:val="32"/>
          <w:szCs w:val="32"/>
          <w14:textFill>
            <w14:solidFill>
              <w14:schemeClr w14:val="tx1"/>
            </w14:solidFill>
          </w14:textFill>
        </w:rPr>
        <w:t>，建设大泉州商贸中心。依托历史文化和人文资源，突出海丝文化重要发祥地和遗存集中地、闽南文化发源地和传承地的优势，努力建成世界级文化艺术展示平台、多元宗教博物馆和原真闽南文化体验地。</w:t>
      </w:r>
    </w:p>
    <w:p w14:paraId="133C8FD0">
      <w:pPr>
        <w:widowControl w:val="0"/>
        <w:spacing w:line="590" w:lineRule="exact"/>
        <w:ind w:firstLine="643" w:firstLineChars="200"/>
        <w:jc w:val="both"/>
        <w:rPr>
          <w:rFonts w:ascii="Times New Roman" w:hAnsi="Times New Roman" w:eastAsia="方正仿宋简体" w:cs="仿宋"/>
          <w:bCs/>
          <w:color w:val="000000" w:themeColor="text1"/>
          <w:sz w:val="32"/>
          <w:szCs w:val="32"/>
          <w14:textFill>
            <w14:solidFill>
              <w14:schemeClr w14:val="tx1"/>
            </w14:solidFill>
          </w14:textFill>
        </w:rPr>
      </w:pPr>
      <w:r>
        <w:rPr>
          <w:rFonts w:hint="eastAsia" w:ascii="Times New Roman" w:hAnsi="Times New Roman" w:eastAsia="方正仿宋简体" w:cs="仿宋"/>
          <w:b/>
          <w:bCs/>
          <w:color w:val="000000" w:themeColor="text1"/>
          <w:sz w:val="32"/>
          <w:szCs w:val="32"/>
          <w14:textFill>
            <w14:solidFill>
              <w14:schemeClr w14:val="tx1"/>
            </w14:solidFill>
          </w14:textFill>
        </w:rPr>
        <w:t>滨江商务服务板块：</w:t>
      </w:r>
      <w:r>
        <w:rPr>
          <w:rFonts w:hint="eastAsia" w:ascii="Times New Roman" w:hAnsi="Times New Roman" w:eastAsia="方正仿宋简体" w:cs="仿宋"/>
          <w:bCs/>
          <w:color w:val="000000" w:themeColor="text1"/>
          <w:sz w:val="32"/>
          <w:szCs w:val="32"/>
          <w14:textFill>
            <w14:solidFill>
              <w14:schemeClr w14:val="tx1"/>
            </w14:solidFill>
          </w14:textFill>
        </w:rPr>
        <w:t>位于江滨南路沿线至繁荣路北侧区域，包括繁荣片区、笋江片区、兴贤片区3个功能组团，面积约6.7平方公里。</w:t>
      </w:r>
      <w:r>
        <w:rPr>
          <w:rFonts w:hint="eastAsia" w:ascii="Times New Roman" w:hAnsi="Times New Roman" w:eastAsia="方正仿宋简体" w:cs="仿宋"/>
          <w:color w:val="000000" w:themeColor="text1"/>
          <w:sz w:val="32"/>
          <w:szCs w:val="32"/>
          <w14:textFill>
            <w14:solidFill>
              <w14:schemeClr w14:val="tx1"/>
            </w14:solidFill>
          </w14:textFill>
        </w:rPr>
        <w:t>重点打造繁荣片区商贸服务活力核，</w:t>
      </w:r>
      <w:r>
        <w:rPr>
          <w:rFonts w:hint="eastAsia" w:ascii="Times New Roman" w:hAnsi="Times New Roman" w:eastAsia="方正仿宋简体" w:cs="仿宋"/>
          <w:bCs/>
          <w:color w:val="000000" w:themeColor="text1"/>
          <w:sz w:val="32"/>
          <w:szCs w:val="32"/>
          <w14:textFill>
            <w14:solidFill>
              <w14:schemeClr w14:val="tx1"/>
            </w14:solidFill>
          </w14:textFill>
        </w:rPr>
        <w:t>布局总部经济、现代金融、高端商业等业态，在站前大道和繁荣大道十字路口打造一个地标级经典建筑，形成江南新区都市产业驱动核。</w:t>
      </w:r>
      <w:r>
        <w:rPr>
          <w:rFonts w:hint="eastAsia" w:ascii="Times New Roman" w:hAnsi="Times New Roman" w:eastAsia="方正仿宋简体" w:cs="仿宋"/>
          <w:color w:val="000000" w:themeColor="text1"/>
          <w:sz w:val="32"/>
          <w:szCs w:val="32"/>
          <w14:textFill>
            <w14:solidFill>
              <w14:schemeClr w14:val="tx1"/>
            </w14:solidFill>
          </w14:textFill>
        </w:rPr>
        <w:t>加快推进鲤城滨江总部经济区、茂诚滨江广场建设，</w:t>
      </w:r>
      <w:r>
        <w:rPr>
          <w:rFonts w:hint="eastAsia" w:ascii="Times New Roman" w:hAnsi="Times New Roman" w:eastAsia="方正仿宋简体" w:cs="仿宋"/>
          <w:bCs/>
          <w:color w:val="000000" w:themeColor="text1"/>
          <w:sz w:val="32"/>
          <w:szCs w:val="32"/>
          <w14:textFill>
            <w14:solidFill>
              <w14:schemeClr w14:val="tx1"/>
            </w14:solidFill>
          </w14:textFill>
        </w:rPr>
        <w:t>打造集商业商务、酒店会展、文旅消费、高端居住等为主的滨江商务服务带，建成城市商业核心区。</w:t>
      </w:r>
    </w:p>
    <w:p w14:paraId="62C3EE3D">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bCs/>
          <w:color w:val="000000" w:themeColor="text1"/>
          <w:sz w:val="32"/>
          <w:szCs w:val="32"/>
          <w14:textFill>
            <w14:solidFill>
              <w14:schemeClr w14:val="tx1"/>
            </w14:solidFill>
          </w14:textFill>
        </w:rPr>
        <w:t>中部产居融合板块：</w:t>
      </w:r>
      <w:r>
        <w:rPr>
          <w:rFonts w:hint="eastAsia" w:ascii="Times New Roman" w:hAnsi="Times New Roman" w:eastAsia="方正仿宋简体" w:cs="仿宋"/>
          <w:bCs/>
          <w:color w:val="000000" w:themeColor="text1"/>
          <w:sz w:val="32"/>
          <w:szCs w:val="32"/>
          <w14:textFill>
            <w14:solidFill>
              <w14:schemeClr w14:val="tx1"/>
            </w14:solidFill>
          </w14:textFill>
        </w:rPr>
        <w:t>位于繁荣路以南、南高渠以北，以站前大道两侧、南迎宾大道北侧为核心，包括华星片区、古店片区、亭店片区3个功能组团，面积约10平方公里。重点依托南高渠、南低渠以及规划建设的乌石山滞洪区，建设笋江片区公共服务活力核，提前布局、培育更多一流的中小学、医院、养老院等，进一步完善片</w:t>
      </w:r>
      <w:r>
        <w:rPr>
          <w:rFonts w:hint="eastAsia" w:ascii="Times New Roman" w:hAnsi="Times New Roman" w:eastAsia="方正仿宋简体" w:cs="仿宋"/>
          <w:color w:val="000000" w:themeColor="text1"/>
          <w:sz w:val="32"/>
          <w:szCs w:val="32"/>
          <w14:textFill>
            <w14:solidFill>
              <w14:schemeClr w14:val="tx1"/>
            </w14:solidFill>
          </w14:textFill>
        </w:rPr>
        <w:t>区内公共基础服务配套设施，以高品质的城市公共服务配套，带动高品位的片区开发建设，</w:t>
      </w:r>
      <w:r>
        <w:rPr>
          <w:rFonts w:hint="eastAsia" w:ascii="Times New Roman" w:hAnsi="Times New Roman" w:eastAsia="方正仿宋简体" w:cs="仿宋"/>
          <w:bCs/>
          <w:color w:val="000000" w:themeColor="text1"/>
          <w:sz w:val="32"/>
          <w:szCs w:val="32"/>
          <w14:textFill>
            <w14:solidFill>
              <w14:schemeClr w14:val="tx1"/>
            </w14:solidFill>
          </w14:textFill>
        </w:rPr>
        <w:t>优化提升现有产业空间，打造具有创新活力的现代服务业组团，促进城市与产业、人口的深层次融合发展。</w:t>
      </w:r>
    </w:p>
    <w:p w14:paraId="2DBFF312">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bCs/>
          <w:color w:val="000000" w:themeColor="text1"/>
          <w:sz w:val="32"/>
          <w:szCs w:val="32"/>
          <w14:textFill>
            <w14:solidFill>
              <w14:schemeClr w14:val="tx1"/>
            </w14:solidFill>
          </w14:textFill>
        </w:rPr>
        <w:t>浅山产业提升板块：</w:t>
      </w:r>
      <w:r>
        <w:rPr>
          <w:rFonts w:hint="eastAsia" w:ascii="Times New Roman" w:hAnsi="Times New Roman" w:eastAsia="方正仿宋简体" w:cs="仿宋"/>
          <w:bCs/>
          <w:color w:val="000000" w:themeColor="text1"/>
          <w:sz w:val="32"/>
          <w:szCs w:val="32"/>
          <w14:textFill>
            <w14:solidFill>
              <w14:schemeClr w14:val="tx1"/>
            </w14:solidFill>
          </w14:textFill>
        </w:rPr>
        <w:t>位于紫帽山乌石山临山沿线北侧，以国家级高新技术产业园区为核心，基本沿南环路周边分布延伸，涵盖紫帽山-乌石山部分山体林地和高新技术开发区大部分范围，面积约8.5平方公里。自西向东布局</w:t>
      </w:r>
      <w:r>
        <w:rPr>
          <w:rFonts w:hint="eastAsia" w:ascii="Times New Roman" w:hAnsi="Times New Roman" w:eastAsia="方正仿宋简体"/>
          <w:color w:val="000000" w:themeColor="text1"/>
          <w:sz w:val="32"/>
          <w:szCs w:val="32"/>
          <w14:textFill>
            <w14:solidFill>
              <w14:schemeClr w14:val="tx1"/>
            </w14:solidFill>
          </w14:textFill>
        </w:rPr>
        <w:t>机械汽配、纺织鞋服、汽车商贸、电子电商展示展览四大</w:t>
      </w:r>
      <w:r>
        <w:rPr>
          <w:rFonts w:hint="eastAsia" w:ascii="Times New Roman" w:hAnsi="Times New Roman" w:eastAsia="方正仿宋简体" w:cs="仿宋"/>
          <w:bCs/>
          <w:color w:val="000000" w:themeColor="text1"/>
          <w:sz w:val="32"/>
          <w:szCs w:val="32"/>
          <w14:textFill>
            <w14:solidFill>
              <w14:schemeClr w14:val="tx1"/>
            </w14:solidFill>
          </w14:textFill>
        </w:rPr>
        <w:t>产业组团，重点沿南高渠生态走廊南侧集中布局，推动园区“产城人”融合发展。</w:t>
      </w:r>
      <w:r>
        <w:rPr>
          <w:rFonts w:hint="eastAsia" w:ascii="Times New Roman" w:hAnsi="Times New Roman" w:eastAsia="方正仿宋简体" w:cs="仿宋"/>
          <w:color w:val="000000" w:themeColor="text1"/>
          <w:sz w:val="32"/>
          <w:szCs w:val="32"/>
          <w14:textFill>
            <w14:solidFill>
              <w14:schemeClr w14:val="tx1"/>
            </w14:solidFill>
          </w14:textFill>
        </w:rPr>
        <w:t>以鲤城高新园区为核心</w:t>
      </w:r>
      <w:r>
        <w:rPr>
          <w:rFonts w:hint="eastAsia" w:ascii="Times New Roman" w:hAnsi="Times New Roman" w:eastAsia="方正仿宋简体" w:cs="仿宋"/>
          <w:bCs/>
          <w:color w:val="000000" w:themeColor="text1"/>
          <w:sz w:val="32"/>
          <w:szCs w:val="32"/>
          <w14:textFill>
            <w14:solidFill>
              <w14:schemeClr w14:val="tx1"/>
            </w14:solidFill>
          </w14:textFill>
        </w:rPr>
        <w:t>，加快推进产业转型升级，完善交通、教育、医疗等市政基础配套设施与公共服务，放大国家高新园区品牌效应，开展“腾笼换鸟”策略，推进产业空间“疏、整、促”，集中开展低效用地专项行动，分期、分片、分批整合盘活各类低效低端产业用地，建设标准化厂房，打造特色鲜明的小微产业园。</w:t>
      </w:r>
      <w:r>
        <w:rPr>
          <w:rFonts w:hint="eastAsia" w:ascii="Times New Roman" w:hAnsi="Times New Roman" w:eastAsia="方正仿宋简体" w:cs="仿宋"/>
          <w:color w:val="000000" w:themeColor="text1"/>
          <w:sz w:val="32"/>
          <w:szCs w:val="32"/>
          <w14:textFill>
            <w14:solidFill>
              <w14:schemeClr w14:val="tx1"/>
            </w14:solidFill>
          </w14:textFill>
        </w:rPr>
        <w:t>集中优势资源扶持壮大龙头企业和高科技高成长型企业，引导中小微企业围绕龙头企业配套不断壮大，推动高新园区提质增效。</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5"/>
      </w:tblGrid>
      <w:tr w14:paraId="7E49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5" w:type="dxa"/>
            <w:shd w:val="clear" w:color="auto" w:fill="auto"/>
          </w:tcPr>
          <w:p w14:paraId="1A2A708B">
            <w:pPr>
              <w:pStyle w:val="22"/>
              <w:widowControl w:val="0"/>
              <w:shd w:val="clear" w:color="auto" w:fill="FFFFFF"/>
              <w:spacing w:before="0" w:beforeAutospacing="0" w:after="0" w:afterAutospacing="0"/>
              <w:jc w:val="center"/>
              <w:rPr>
                <w:rFonts w:ascii="Times New Roman" w:hAnsi="Times New Roman" w:eastAsia="方正仿宋简体" w:cs="仿宋"/>
                <w:b/>
                <w:color w:val="000000" w:themeColor="text1"/>
                <w:sz w:val="30"/>
                <w:szCs w:val="30"/>
                <w14:textFill>
                  <w14:solidFill>
                    <w14:schemeClr w14:val="tx1"/>
                  </w14:solidFill>
                </w14:textFill>
              </w:rPr>
            </w:pPr>
            <w:r>
              <w:rPr>
                <w:rFonts w:hint="eastAsia" w:ascii="Times New Roman" w:hAnsi="Times New Roman" w:eastAsia="方正仿宋简体" w:cs="仿宋"/>
                <w:b/>
                <w:color w:val="000000" w:themeColor="text1"/>
                <w:sz w:val="28"/>
                <w:szCs w:val="30"/>
                <w14:textFill>
                  <w14:solidFill>
                    <w14:schemeClr w14:val="tx1"/>
                  </w14:solidFill>
                </w14:textFill>
              </w:rPr>
              <w:t>专栏7 城市建设重大项目</w:t>
            </w:r>
          </w:p>
        </w:tc>
      </w:tr>
      <w:tr w14:paraId="169A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5" w:type="dxa"/>
            <w:shd w:val="clear" w:color="auto" w:fill="auto"/>
          </w:tcPr>
          <w:p w14:paraId="2C91F8D7">
            <w:pPr>
              <w:pStyle w:val="22"/>
              <w:widowControl w:val="0"/>
              <w:shd w:val="clear" w:color="auto" w:fill="FFFFFF"/>
              <w:spacing w:before="0" w:beforeAutospacing="0" w:after="0" w:afterAutospacing="0" w:line="360" w:lineRule="exact"/>
              <w:ind w:firstLine="48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古城文旅活力板块：</w:t>
            </w:r>
            <w:r>
              <w:rPr>
                <w:rFonts w:hint="eastAsia" w:ascii="Times New Roman" w:hAnsi="Times New Roman" w:eastAsia="方正仿宋简体" w:cs="仿宋"/>
                <w:color w:val="000000" w:themeColor="text1"/>
                <w:szCs w:val="32"/>
                <w14:textFill>
                  <w14:solidFill>
                    <w14:schemeClr w14:val="tx1"/>
                  </w14:solidFill>
                </w14:textFill>
              </w:rPr>
              <w:t>中山路及周边商圈业态提升项目、西郊新村、鲤城区老旧小区改造项目、新门片区三创园、龙头山片区文化旅游街区、聚宝城南文化街区、爱国路片区改造项目、平水庙立体停车场、钟楼百货-刺桐尚居项目、大寺逅闽南栖息院落项目等。</w:t>
            </w:r>
          </w:p>
          <w:p w14:paraId="795ADAC6">
            <w:pPr>
              <w:pStyle w:val="22"/>
              <w:widowControl w:val="0"/>
              <w:shd w:val="clear" w:color="auto" w:fill="FFFFFF"/>
              <w:spacing w:before="0" w:beforeAutospacing="0" w:after="0" w:afterAutospacing="0" w:line="360" w:lineRule="exact"/>
              <w:ind w:firstLine="48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滨江商务服务板块：</w:t>
            </w:r>
            <w:r>
              <w:rPr>
                <w:rFonts w:hint="eastAsia" w:ascii="Times New Roman" w:hAnsi="Times New Roman" w:eastAsia="方正仿宋简体" w:cs="仿宋"/>
                <w:color w:val="000000" w:themeColor="text1"/>
                <w:szCs w:val="32"/>
                <w14:textFill>
                  <w14:solidFill>
                    <w14:schemeClr w14:val="tx1"/>
                  </w14:solidFill>
                </w14:textFill>
              </w:rPr>
              <w:t>繁荣片区棚户区改造项目、站前大道西侧棚户区（石结构房屋）改造及基础设施建设项目、古店-罐头厂片区改造项目、高山片区棚户区（石结构房屋）改造及基础设施建设项目、石崎社区改造项目等。</w:t>
            </w:r>
          </w:p>
          <w:p w14:paraId="09A04832">
            <w:pPr>
              <w:pStyle w:val="22"/>
              <w:widowControl w:val="0"/>
              <w:shd w:val="clear" w:color="auto" w:fill="FFFFFF"/>
              <w:spacing w:before="0" w:beforeAutospacing="0" w:after="0" w:afterAutospacing="0" w:line="360" w:lineRule="exact"/>
              <w:ind w:firstLine="48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中部产居融合板块：</w:t>
            </w:r>
            <w:r>
              <w:rPr>
                <w:rFonts w:hint="eastAsia" w:ascii="Times New Roman" w:hAnsi="Times New Roman" w:eastAsia="方正仿宋简体" w:cs="仿宋"/>
                <w:color w:val="000000" w:themeColor="text1"/>
                <w:szCs w:val="32"/>
                <w14:textFill>
                  <w14:solidFill>
                    <w14:schemeClr w14:val="tx1"/>
                  </w14:solidFill>
                </w14:textFill>
              </w:rPr>
              <w:t>兴贤路中段片区改造项目、兴贤路北侧片区改造项目、树兜商住区项目、乌石山滞洪区及周边棚户区改造项目、南迎宾大道（登峰、亭店）片区改造项目等。</w:t>
            </w:r>
          </w:p>
          <w:p w14:paraId="39D1454F">
            <w:pPr>
              <w:pStyle w:val="22"/>
              <w:widowControl w:val="0"/>
              <w:shd w:val="clear" w:color="auto" w:fill="FFFFFF"/>
              <w:spacing w:before="0" w:beforeAutospacing="0" w:after="0" w:afterAutospacing="0" w:line="360" w:lineRule="exact"/>
              <w:ind w:firstLine="482" w:firstLineChars="200"/>
              <w:jc w:val="both"/>
              <w:rPr>
                <w:rFonts w:ascii="Times New Roman" w:hAnsi="Times New Roman" w:eastAsia="方正仿宋简体" w:cs="仿宋"/>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浅山产业提升板块：</w:t>
            </w:r>
            <w:r>
              <w:rPr>
                <w:rFonts w:hint="eastAsia" w:ascii="Times New Roman" w:hAnsi="Times New Roman" w:eastAsia="方正仿宋简体" w:cs="仿宋"/>
                <w:color w:val="000000" w:themeColor="text1"/>
                <w:szCs w:val="32"/>
                <w14:textFill>
                  <w14:solidFill>
                    <w14:schemeClr w14:val="tx1"/>
                  </w14:solidFill>
                </w14:textFill>
              </w:rPr>
              <w:t>紫帽山农业观光生态园、海天商贸物流产业园、滨海汽车产业园、嘉成数字经济智慧园区、泉州华侨塑料厂片区改造项目等。</w:t>
            </w:r>
          </w:p>
        </w:tc>
      </w:tr>
      <w:bookmarkEnd w:id="71"/>
    </w:tbl>
    <w:p w14:paraId="548D4AF1">
      <w:pPr>
        <w:pStyle w:val="3"/>
        <w:keepNext w:val="0"/>
        <w:keepLines w:val="0"/>
        <w:spacing w:before="0" w:after="0" w:line="590" w:lineRule="exact"/>
        <w:jc w:val="center"/>
        <w:rPr>
          <w:rFonts w:ascii="Times New Roman" w:hAnsi="Times New Roman" w:eastAsia="黑体" w:cs="Times New Roman (标题 CS)"/>
          <w:b w:val="0"/>
          <w:color w:val="000000" w:themeColor="text1"/>
          <w14:textFill>
            <w14:solidFill>
              <w14:schemeClr w14:val="tx1"/>
            </w14:solidFill>
          </w14:textFill>
        </w:rPr>
      </w:pPr>
      <w:bookmarkStart w:id="82" w:name="_Toc74035499"/>
      <w:bookmarkStart w:id="83" w:name="_Toc73976147"/>
      <w:bookmarkStart w:id="84" w:name="_Toc59811661"/>
      <w:r>
        <w:rPr>
          <w:rFonts w:hint="eastAsia" w:ascii="Times New Roman" w:hAnsi="Times New Roman" w:eastAsia="黑体" w:cs="Times New Roman (标题 CS)"/>
          <w:b w:val="0"/>
          <w:color w:val="000000" w:themeColor="text1"/>
          <w14:textFill>
            <w14:solidFill>
              <w14:schemeClr w14:val="tx1"/>
            </w14:solidFill>
          </w14:textFill>
        </w:rPr>
        <w:t>第三节 推进环湾向湾融合发展</w:t>
      </w:r>
      <w:bookmarkEnd w:id="82"/>
      <w:bookmarkEnd w:id="83"/>
      <w:bookmarkEnd w:id="84"/>
    </w:p>
    <w:p w14:paraId="4026DFD4"/>
    <w:p w14:paraId="1DFE099E">
      <w:pPr>
        <w:widowControl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聚焦泉州“环湾整合、三向拓展”空间发展战略，</w:t>
      </w:r>
      <w:r>
        <w:rPr>
          <w:rFonts w:hint="eastAsia" w:ascii="Times New Roman" w:hAnsi="Times New Roman" w:eastAsia="方正仿宋简体" w:cs="仿宋"/>
          <w:bCs/>
          <w:color w:val="000000" w:themeColor="text1"/>
          <w:sz w:val="32"/>
          <w:szCs w:val="32"/>
          <w14:textFill>
            <w14:solidFill>
              <w14:schemeClr w14:val="tx1"/>
            </w14:solidFill>
          </w14:textFill>
        </w:rPr>
        <w:t>进一步加强与周边区域协同发展，构建区域立体化高水平开放、协同发展新格局。</w:t>
      </w:r>
      <w:r>
        <w:rPr>
          <w:rFonts w:hint="eastAsia" w:ascii="Times New Roman" w:hAnsi="Times New Roman" w:eastAsia="方正仿宋简体" w:cs="仿宋"/>
          <w:color w:val="000000" w:themeColor="text1"/>
          <w:sz w:val="32"/>
          <w:szCs w:val="32"/>
          <w14:textFill>
            <w14:solidFill>
              <w14:schemeClr w14:val="tx1"/>
            </w14:solidFill>
          </w14:textFill>
        </w:rPr>
        <w:t>积极对接泉州参与更大、更广层次区域竞争的核心平台建设，结合自身区域特征，加强城市建设、基础设施、产业布局、公共服务等与上位规划相衔接，力争到2025年鲤城在环湾向湾发展关键领域取得实质性进展，重大基础设施互联互通格局初步形成，产业协同发展水平显著提升，山海协作取得新成效。</w:t>
      </w:r>
    </w:p>
    <w:p w14:paraId="47AD7E52">
      <w:pPr>
        <w:widowControl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推动“跨江发展、跨域融合”发展战略，坚持错位协同特色发展，实现互利共赢。提升与鲤城接壤交界的霞美、北峰、丰州、池店等区域关联度，推动区域性战略平台合作，构筑联系紧密、分工合理、信息物资通畅的一体化产业体系。借助泉州环湾城乡一体化建设，加快交通廊道建设，完善综合交通网络，提升区域辐射能力。</w:t>
      </w:r>
    </w:p>
    <w:p w14:paraId="7D95E4F6">
      <w:pPr>
        <w:widowControl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通过优化产业空间布局与资源整合，以“鲤城智造”及“鲤城服务”赋能周边区域传统产业转型升级以及新兴战略产业规模集聚，助力“泉州制造”向“泉州创造”转变。以生产服务为核心，推动服务业体系发展完善。以“优化投资环境、完善商贸物流、创新服务手段”为基本思路，重点培育支撑产业发展所亟需的业态与服务。持续提升生活性服务业质量，形成服务业发展与城市化良性互动，打造大泉州的产业综合服务核心区。</w:t>
      </w:r>
    </w:p>
    <w:p w14:paraId="2C1B2B11">
      <w:pPr>
        <w:widowControl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建设辐射大泉州的公共服务中心，构建多中心节点网络式城市中心服务体系。根据城市发展需求，梳理在建及计划建设重大公共服务设施，根据各个区域重大基础设施所处地理位置，结合周边区域产业发展需求，合理配置相应等级的公共服务设施，差异化引导公共服务设施布局，提升各等级中心的公共服务水平。</w:t>
      </w:r>
    </w:p>
    <w:p w14:paraId="55438605">
      <w:pPr>
        <w:widowControl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sectPr>
          <w:pgSz w:w="11900" w:h="16840"/>
          <w:pgMar w:top="1928" w:right="1474" w:bottom="1701" w:left="1588" w:header="851" w:footer="992" w:gutter="0"/>
          <w:cols w:space="425" w:num="1"/>
          <w:docGrid w:type="lines" w:linePitch="423" w:charSpace="0"/>
        </w:sectPr>
      </w:pPr>
      <w:r>
        <w:rPr>
          <w:rFonts w:hint="eastAsia" w:ascii="Times New Roman" w:hAnsi="Times New Roman" w:eastAsia="方正仿宋简体" w:cs="仿宋"/>
          <w:color w:val="000000" w:themeColor="text1"/>
          <w:sz w:val="32"/>
          <w:szCs w:val="32"/>
          <w14:textFill>
            <w14:solidFill>
              <w14:schemeClr w14:val="tx1"/>
            </w14:solidFill>
          </w14:textFill>
        </w:rPr>
        <w:t>建立更紧密的山海协作机制，发挥沿海经济向内陆辐射的主要通道优势，打造区域货物商贸交易枢纽核心，加快轻工消费品向安溪、永春、德化，龙岩、三明乃至江西、湖南等内陆地区辐射发展，加快山区货源向我区集聚，全面推动相关产业联动发展，融入闽西南协同发展区建设。</w:t>
      </w:r>
    </w:p>
    <w:p w14:paraId="1C1C66E3">
      <w:pPr>
        <w:widowControl w:val="0"/>
        <w:overflowPunct w:val="0"/>
        <w:spacing w:line="590" w:lineRule="exact"/>
        <w:jc w:val="center"/>
        <w:rPr>
          <w:rFonts w:ascii="黑体" w:hAnsi="黑体" w:eastAsia="黑体" w:cs="Times New Roman"/>
          <w:bCs/>
          <w:color w:val="000000" w:themeColor="text1"/>
          <w:kern w:val="2"/>
          <w:sz w:val="36"/>
          <w:szCs w:val="32"/>
          <w14:textFill>
            <w14:solidFill>
              <w14:schemeClr w14:val="tx1"/>
            </w14:solidFill>
          </w14:textFill>
        </w:rPr>
      </w:pPr>
      <w:r>
        <w:rPr>
          <w:rFonts w:hint="eastAsia" w:ascii="黑体" w:hAnsi="黑体" w:eastAsia="黑体" w:cs="Times New Roman"/>
          <w:bCs/>
          <w:color w:val="000000" w:themeColor="text1"/>
          <w:kern w:val="2"/>
          <w:sz w:val="36"/>
          <w:szCs w:val="32"/>
          <w14:textFill>
            <w14:solidFill>
              <w14:schemeClr w14:val="tx1"/>
            </w14:solidFill>
          </w14:textFill>
        </w:rPr>
        <w:t>第五章 转型发展，加快打造现代产业体系</w:t>
      </w:r>
    </w:p>
    <w:p w14:paraId="02CABA99">
      <w:pPr>
        <w:spacing w:line="590" w:lineRule="exact"/>
        <w:jc w:val="center"/>
        <w:rPr>
          <w:rFonts w:ascii="Times New Roman" w:hAnsi="Times New Roman"/>
          <w:bCs/>
          <w:color w:val="000000" w:themeColor="text1"/>
          <w:sz w:val="36"/>
          <w14:textFill>
            <w14:solidFill>
              <w14:schemeClr w14:val="tx1"/>
            </w14:solidFill>
          </w14:textFill>
        </w:rPr>
      </w:pPr>
    </w:p>
    <w:p w14:paraId="322BDE4C">
      <w:pPr>
        <w:pStyle w:val="22"/>
        <w:widowControl w:val="0"/>
        <w:spacing w:before="0" w:beforeAutospacing="0" w:after="0" w:afterAutospacing="0"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围绕产业集约化、集聚化、集成化，突出高端、智能、融合发展，积极培育新产品、新技术、新业态，着眼提质增效，增强经济内生增长动力，调整产业内部结构，推进产业功能化、功能集聚化，加快形成创新引领、技术密集、价值高端的经济形态，构建“21333”</w:t>
      </w:r>
      <w:r>
        <w:rPr>
          <w:rStyle w:val="34"/>
          <w:rFonts w:hint="eastAsia" w:ascii="Times New Roman" w:hAnsi="Times New Roman" w:eastAsia="方正仿宋简体"/>
          <w:color w:val="000000" w:themeColor="text1"/>
          <w14:textFill>
            <w14:solidFill>
              <w14:schemeClr w14:val="tx1"/>
            </w14:solidFill>
          </w14:textFill>
        </w:rPr>
        <w:footnoteReference w:id="4"/>
      </w:r>
      <w:r>
        <w:rPr>
          <w:rFonts w:hint="eastAsia" w:ascii="Times New Roman" w:hAnsi="Times New Roman" w:eastAsia="方正仿宋简体" w:cs="仿宋"/>
          <w:color w:val="000000" w:themeColor="text1"/>
          <w:sz w:val="32"/>
          <w:szCs w:val="32"/>
          <w14:textFill>
            <w14:solidFill>
              <w14:schemeClr w14:val="tx1"/>
            </w14:solidFill>
          </w14:textFill>
        </w:rPr>
        <w:t>现代产业结构体系。</w:t>
      </w:r>
    </w:p>
    <w:p w14:paraId="3DE0532C">
      <w:pPr>
        <w:pStyle w:val="22"/>
        <w:widowControl w:val="0"/>
        <w:spacing w:before="0" w:beforeAutospacing="0" w:after="0" w:afterAutospacing="0"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p w14:paraId="6FF38AE7">
      <w:pPr>
        <w:pStyle w:val="3"/>
        <w:keepNext w:val="0"/>
        <w:keepLines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85" w:name="_Toc74035500"/>
      <w:bookmarkStart w:id="86" w:name="_Toc73976148"/>
      <w:bookmarkStart w:id="87" w:name="_Toc59811663"/>
      <w:r>
        <w:rPr>
          <w:rFonts w:hint="eastAsia" w:ascii="黑体" w:hAnsi="黑体" w:eastAsia="黑体" w:cs="Times New Roman (标题 CS)"/>
          <w:b w:val="0"/>
          <w:color w:val="000000" w:themeColor="text1"/>
          <w14:textFill>
            <w14:solidFill>
              <w14:schemeClr w14:val="tx1"/>
            </w14:solidFill>
          </w14:textFill>
        </w:rPr>
        <w:t>第一节 培育先进制造业新优势</w:t>
      </w:r>
      <w:bookmarkEnd w:id="85"/>
      <w:bookmarkEnd w:id="86"/>
      <w:bookmarkEnd w:id="87"/>
    </w:p>
    <w:p w14:paraId="42FCC0F9"/>
    <w:p w14:paraId="7B626ACC">
      <w:pPr>
        <w:widowControl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强化创新驱动、龙头带动，</w:t>
      </w:r>
      <w:r>
        <w:rPr>
          <w:rFonts w:hint="eastAsia" w:ascii="Times New Roman" w:hAnsi="Times New Roman" w:eastAsia="方正仿宋简体"/>
          <w:color w:val="000000" w:themeColor="text1"/>
          <w:sz w:val="32"/>
          <w:szCs w:val="32"/>
          <w14:textFill>
            <w14:solidFill>
              <w14:schemeClr w14:val="tx1"/>
            </w14:solidFill>
          </w14:textFill>
        </w:rPr>
        <w:t>全方位提升城市资源要素整合能力，</w:t>
      </w:r>
      <w:r>
        <w:rPr>
          <w:rFonts w:hint="eastAsia" w:ascii="Times New Roman" w:hAnsi="Times New Roman" w:eastAsia="方正仿宋简体" w:cs="仿宋"/>
          <w:color w:val="000000" w:themeColor="text1"/>
          <w:sz w:val="32"/>
          <w:szCs w:val="32"/>
          <w14:textFill>
            <w14:solidFill>
              <w14:schemeClr w14:val="tx1"/>
            </w14:solidFill>
          </w14:textFill>
        </w:rPr>
        <w:t>做强做活存量，做大做优增量，拓展产业链条，提升产业能级，推动纺织鞋服和机械汽配等传统优势产业高新化发展、新一代信息技术等战略性新兴产业规模化发展，加快建设先进制造产业基地。</w:t>
      </w:r>
    </w:p>
    <w:p w14:paraId="428862FA">
      <w:pPr>
        <w:widowControl w:val="0"/>
        <w:spacing w:line="590" w:lineRule="exact"/>
        <w:ind w:firstLine="643" w:firstLineChars="200"/>
        <w:jc w:val="both"/>
        <w:rPr>
          <w:rFonts w:ascii="Times New Roman" w:hAnsi="Times New Roman" w:eastAsia="方正楷体简体" w:cs="仿宋"/>
          <w:b/>
          <w:color w:val="000000" w:themeColor="text1"/>
          <w:sz w:val="32"/>
          <w:szCs w:val="32"/>
          <w14:textFill>
            <w14:solidFill>
              <w14:schemeClr w14:val="tx1"/>
            </w14:solidFill>
          </w14:textFill>
        </w:rPr>
      </w:pPr>
      <w:r>
        <w:rPr>
          <w:rFonts w:hint="eastAsia" w:ascii="Times New Roman" w:hAnsi="Times New Roman" w:eastAsia="方正楷体简体" w:cs="仿宋"/>
          <w:b/>
          <w:color w:val="000000" w:themeColor="text1"/>
          <w:sz w:val="32"/>
          <w:szCs w:val="32"/>
          <w14:textFill>
            <w14:solidFill>
              <w14:schemeClr w14:val="tx1"/>
            </w14:solidFill>
          </w14:textFill>
        </w:rPr>
        <w:t>（一）传统优势制造业</w:t>
      </w:r>
    </w:p>
    <w:p w14:paraId="70770073">
      <w:pPr>
        <w:pStyle w:val="22"/>
        <w:widowControl w:val="0"/>
        <w:spacing w:before="0" w:beforeAutospacing="0" w:after="0" w:afterAutospacing="0"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适应全球制造竞争形势新变化，大力推动信息化和工业化深度融合，引导传统优势产业由加工制造环节向技术研发、创意设计、品牌营销、售后服务等环节拓展，产业链向上下游延伸，价值链向中高端攀升，重塑传统产业竞争新优势。</w:t>
      </w:r>
    </w:p>
    <w:p w14:paraId="7F234664">
      <w:pPr>
        <w:pStyle w:val="22"/>
        <w:widowControl w:val="0"/>
        <w:spacing w:before="0" w:beforeAutospacing="0" w:after="0" w:afterAutospacing="0"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——纺织鞋服：</w:t>
      </w:r>
      <w:r>
        <w:rPr>
          <w:rFonts w:hint="eastAsia" w:ascii="Times New Roman" w:hAnsi="Times New Roman" w:eastAsia="方正仿宋简体" w:cs="仿宋"/>
          <w:color w:val="000000" w:themeColor="text1"/>
          <w:sz w:val="32"/>
          <w:szCs w:val="32"/>
          <w14:textFill>
            <w14:solidFill>
              <w14:schemeClr w14:val="tx1"/>
            </w14:solidFill>
          </w14:textFill>
        </w:rPr>
        <w:t>重点以供应链龙头企业培育为抓手，坚持市场主导，分类推进，突出特色。整合纺织鞋服产业链，建立产业技术创新战略联盟，增强企业间的带动、联动效应，推动上下游相关行业的集聚发展，打造省级特色纺织鞋服产业基地。</w:t>
      </w:r>
      <w:r>
        <w:rPr>
          <w:rFonts w:hint="eastAsia" w:ascii="Times New Roman" w:hAnsi="Times New Roman" w:eastAsia="方正仿宋简体" w:cs="仿宋"/>
          <w:b/>
          <w:color w:val="000000" w:themeColor="text1"/>
          <w:sz w:val="32"/>
          <w:szCs w:val="32"/>
          <w14:textFill>
            <w14:solidFill>
              <w14:schemeClr w14:val="tx1"/>
            </w14:solidFill>
          </w14:textFill>
        </w:rPr>
        <w:t>纺织业</w:t>
      </w:r>
      <w:r>
        <w:rPr>
          <w:rFonts w:hint="eastAsia" w:ascii="Times New Roman" w:hAnsi="Times New Roman" w:eastAsia="方正仿宋简体" w:cs="仿宋"/>
          <w:color w:val="000000" w:themeColor="text1"/>
          <w:sz w:val="32"/>
          <w:szCs w:val="32"/>
          <w14:textFill>
            <w14:solidFill>
              <w14:schemeClr w14:val="tx1"/>
            </w14:solidFill>
          </w14:textFill>
        </w:rPr>
        <w:t>重点向技术高新化、市场国际化方向发展，发挥“一大二高”（大品牌、高技术、高附加值）优势，打破行业发展关键技术瓶颈，加快化纤、织造等关键环节的自动化、数字化、智能化改造。</w:t>
      </w:r>
      <w:r>
        <w:rPr>
          <w:rFonts w:hint="eastAsia" w:ascii="Times New Roman" w:hAnsi="Times New Roman" w:eastAsia="方正仿宋简体" w:cs="仿宋"/>
          <w:b/>
          <w:color w:val="000000" w:themeColor="text1"/>
          <w:sz w:val="32"/>
          <w:szCs w:val="32"/>
          <w14:textFill>
            <w14:solidFill>
              <w14:schemeClr w14:val="tx1"/>
            </w14:solidFill>
          </w14:textFill>
        </w:rPr>
        <w:t>服装业</w:t>
      </w:r>
      <w:r>
        <w:rPr>
          <w:rFonts w:hint="eastAsia" w:ascii="Times New Roman" w:hAnsi="Times New Roman" w:eastAsia="方正仿宋简体" w:cs="仿宋"/>
          <w:color w:val="000000" w:themeColor="text1"/>
          <w:sz w:val="32"/>
          <w:szCs w:val="32"/>
          <w14:textFill>
            <w14:solidFill>
              <w14:schemeClr w14:val="tx1"/>
            </w14:solidFill>
          </w14:textFill>
        </w:rPr>
        <w:t>重点突出“科技+”，实现向轻、薄、软、挺、潮流、功能性发展，推动智能制造、个性化定制、快时尚等生产运营模式创新，着力提高我区服装行业在全球产业分工和价值链中的地位。</w:t>
      </w:r>
      <w:r>
        <w:rPr>
          <w:rFonts w:hint="eastAsia" w:ascii="Times New Roman" w:hAnsi="Times New Roman" w:eastAsia="方正仿宋简体" w:cs="仿宋"/>
          <w:b/>
          <w:color w:val="000000" w:themeColor="text1"/>
          <w:sz w:val="32"/>
          <w:szCs w:val="32"/>
          <w14:textFill>
            <w14:solidFill>
              <w14:schemeClr w14:val="tx1"/>
            </w14:solidFill>
          </w14:textFill>
        </w:rPr>
        <w:t>制鞋业</w:t>
      </w:r>
      <w:r>
        <w:rPr>
          <w:rFonts w:hint="eastAsia" w:ascii="Times New Roman" w:hAnsi="Times New Roman" w:eastAsia="方正仿宋简体" w:cs="仿宋"/>
          <w:color w:val="000000" w:themeColor="text1"/>
          <w:sz w:val="32"/>
          <w:szCs w:val="32"/>
          <w14:textFill>
            <w14:solidFill>
              <w14:schemeClr w14:val="tx1"/>
            </w14:solidFill>
          </w14:textFill>
        </w:rPr>
        <w:t>重点提高制鞋设计能力及水平，着力发展环保型、功能性、高品质的鞋类产品。重点支持石墨烯鞋材、生物基高分子鞋材等新材料研发，推进鞋服生产自动化技术改造，大力发展工业化量身定制和高端定制。</w:t>
      </w:r>
    </w:p>
    <w:p w14:paraId="691AAAE2">
      <w:pPr>
        <w:pStyle w:val="22"/>
        <w:widowControl w:val="0"/>
        <w:spacing w:before="0" w:beforeAutospacing="0" w:after="0" w:afterAutospacing="0"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——机械汽配：</w:t>
      </w:r>
      <w:r>
        <w:rPr>
          <w:rFonts w:hint="eastAsia" w:ascii="Times New Roman" w:hAnsi="Times New Roman" w:eastAsia="方正仿宋简体" w:cs="仿宋"/>
          <w:color w:val="000000" w:themeColor="text1"/>
          <w:sz w:val="32"/>
          <w:szCs w:val="32"/>
          <w14:textFill>
            <w14:solidFill>
              <w14:schemeClr w14:val="tx1"/>
            </w14:solidFill>
          </w14:textFill>
        </w:rPr>
        <w:t>发挥机械汽配产业优势，整合发展产业链，形成核心竞争力。</w:t>
      </w:r>
      <w:r>
        <w:rPr>
          <w:rFonts w:hint="eastAsia" w:ascii="Times New Roman" w:hAnsi="Times New Roman" w:eastAsia="方正仿宋简体" w:cs="仿宋"/>
          <w:b/>
          <w:color w:val="000000" w:themeColor="text1"/>
          <w:sz w:val="32"/>
          <w:szCs w:val="32"/>
          <w14:textFill>
            <w14:solidFill>
              <w14:schemeClr w14:val="tx1"/>
            </w14:solidFill>
          </w14:textFill>
        </w:rPr>
        <w:t>机械装备产业</w:t>
      </w:r>
      <w:r>
        <w:rPr>
          <w:rFonts w:hint="eastAsia" w:ascii="Times New Roman" w:hAnsi="Times New Roman" w:eastAsia="方正仿宋简体" w:cs="仿宋"/>
          <w:color w:val="000000" w:themeColor="text1"/>
          <w:sz w:val="32"/>
          <w:szCs w:val="32"/>
          <w14:textFill>
            <w14:solidFill>
              <w14:schemeClr w14:val="tx1"/>
            </w14:solidFill>
          </w14:textFill>
        </w:rPr>
        <w:t>重点支持环保餐具生产设备、纺织机械、纸制品生产设备、节能环保设备等装备制造业发展，构建高端特色产品的延伸产业链条，提升产品成套能力，促进产品结构调整和集群发展。加快推进全数控智能机械装备研发及产业化，促进制造装备向智能化、特色化、成套化升级，打造区域性重要装备制造产业转型升级示范基地。</w:t>
      </w:r>
      <w:r>
        <w:rPr>
          <w:rFonts w:hint="eastAsia" w:ascii="Times New Roman" w:hAnsi="Times New Roman" w:eastAsia="方正仿宋简体" w:cs="仿宋"/>
          <w:b/>
          <w:color w:val="000000" w:themeColor="text1"/>
          <w:sz w:val="32"/>
          <w:szCs w:val="32"/>
          <w14:textFill>
            <w14:solidFill>
              <w14:schemeClr w14:val="tx1"/>
            </w14:solidFill>
          </w14:textFill>
        </w:rPr>
        <w:t>工程机械及汽车配件产业</w:t>
      </w:r>
      <w:r>
        <w:rPr>
          <w:rFonts w:hint="eastAsia" w:ascii="Times New Roman" w:hAnsi="Times New Roman" w:eastAsia="方正仿宋简体" w:cs="仿宋"/>
          <w:color w:val="000000" w:themeColor="text1"/>
          <w:sz w:val="32"/>
          <w:szCs w:val="32"/>
          <w14:textFill>
            <w14:solidFill>
              <w14:schemeClr w14:val="tx1"/>
            </w14:solidFill>
          </w14:textFill>
        </w:rPr>
        <w:t>侧重整合提升汽配产业链，重点发展液压工程机械整机、特种专用汽车装配等龙头项目和大功率工程机械轴承、制动系统、牵引系统、四轮一带等关键零部件项目，推进工程机械及汽车配件产业从零部件、维修市场为主向关键组件和整机生产、主机配套市场为主转型升级。“十四五”期间重点扶持成长性较好企业，充分发挥其在产业升级中的引领带动作用，将其培育成为产值超10亿元的领军级企业。</w:t>
      </w:r>
    </w:p>
    <w:p w14:paraId="34DCC1E4">
      <w:pPr>
        <w:pStyle w:val="22"/>
        <w:widowControl w:val="0"/>
        <w:spacing w:before="0" w:beforeAutospacing="0" w:after="0" w:afterAutospacing="0" w:line="590" w:lineRule="exact"/>
        <w:ind w:firstLine="643" w:firstLineChars="200"/>
        <w:jc w:val="both"/>
        <w:rPr>
          <w:rFonts w:ascii="Times New Roman" w:hAnsi="Times New Roman" w:eastAsia="方正楷体简体" w:cs="仿宋"/>
          <w:b/>
          <w:color w:val="000000" w:themeColor="text1"/>
          <w:sz w:val="32"/>
          <w:szCs w:val="32"/>
          <w14:textFill>
            <w14:solidFill>
              <w14:schemeClr w14:val="tx1"/>
            </w14:solidFill>
          </w14:textFill>
        </w:rPr>
      </w:pPr>
      <w:r>
        <w:rPr>
          <w:rFonts w:hint="eastAsia" w:ascii="Times New Roman" w:hAnsi="Times New Roman" w:eastAsia="方正楷体简体" w:cs="仿宋"/>
          <w:b/>
          <w:color w:val="000000" w:themeColor="text1"/>
          <w:sz w:val="32"/>
          <w:szCs w:val="32"/>
          <w14:textFill>
            <w14:solidFill>
              <w14:schemeClr w14:val="tx1"/>
            </w14:solidFill>
          </w14:textFill>
        </w:rPr>
        <w:t>（二）战略性新兴产业</w:t>
      </w:r>
    </w:p>
    <w:p w14:paraId="166F51CD">
      <w:pPr>
        <w:widowControl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加大战略性新兴产业扶持力度，</w:t>
      </w:r>
      <w:bookmarkStart w:id="88" w:name="_Hlk59459191"/>
      <w:r>
        <w:rPr>
          <w:rFonts w:hint="eastAsia" w:ascii="Times New Roman" w:hAnsi="Times New Roman" w:eastAsia="方正仿宋简体" w:cs="仿宋"/>
          <w:color w:val="000000" w:themeColor="text1"/>
          <w:sz w:val="32"/>
          <w:szCs w:val="32"/>
          <w14:textFill>
            <w14:solidFill>
              <w14:schemeClr w14:val="tx1"/>
            </w14:solidFill>
          </w14:textFill>
        </w:rPr>
        <w:t>瞄准高端产业和产业高端，聚集高端要素，对接高端项目，集成高端技术，龙头引领、链条延伸、集群共进，推动战略新兴产业规模发展。</w:t>
      </w:r>
      <w:bookmarkEnd w:id="88"/>
    </w:p>
    <w:p w14:paraId="1A35B179">
      <w:pPr>
        <w:pStyle w:val="22"/>
        <w:widowControl w:val="0"/>
        <w:spacing w:before="0" w:beforeAutospacing="0" w:after="0" w:afterAutospacing="0"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——新一代信息技术产业：</w:t>
      </w:r>
      <w:r>
        <w:rPr>
          <w:rFonts w:hint="eastAsia" w:ascii="Times New Roman" w:hAnsi="Times New Roman" w:eastAsia="方正仿宋简体" w:cs="仿宋"/>
          <w:color w:val="000000" w:themeColor="text1"/>
          <w:sz w:val="32"/>
          <w:szCs w:val="32"/>
          <w14:textFill>
            <w14:solidFill>
              <w14:schemeClr w14:val="tx1"/>
            </w14:solidFill>
          </w14:textFill>
        </w:rPr>
        <w:t>围绕市场需求打造高新技术产业生态圈，构建上中下游密切衔接、配套完善的新兴产业体系。</w:t>
      </w:r>
      <w:r>
        <w:rPr>
          <w:rFonts w:hint="eastAsia" w:ascii="Times New Roman" w:hAnsi="Times New Roman" w:eastAsia="方正仿宋简体" w:cs="仿宋"/>
          <w:b/>
          <w:color w:val="000000" w:themeColor="text1"/>
          <w:sz w:val="32"/>
          <w:szCs w:val="32"/>
          <w14:textFill>
            <w14:solidFill>
              <w14:schemeClr w14:val="tx1"/>
            </w14:solidFill>
          </w14:textFill>
        </w:rPr>
        <w:t>光电产业</w:t>
      </w:r>
      <w:r>
        <w:rPr>
          <w:rFonts w:hint="eastAsia" w:ascii="Times New Roman" w:hAnsi="Times New Roman" w:eastAsia="方正仿宋简体" w:cs="仿宋"/>
          <w:color w:val="000000" w:themeColor="text1"/>
          <w:sz w:val="32"/>
          <w:szCs w:val="32"/>
          <w14:textFill>
            <w14:solidFill>
              <w14:schemeClr w14:val="tx1"/>
            </w14:solidFill>
          </w14:textFill>
        </w:rPr>
        <w:t>要重点发展薄膜太阳能新材料、高效异质结电池、智能太阳能灯杆等领域，形成涵盖太阳能光伏和半导体照明相关产业链条的光电产业集群。</w:t>
      </w:r>
      <w:r>
        <w:rPr>
          <w:rFonts w:hint="eastAsia" w:ascii="Times New Roman" w:hAnsi="Times New Roman" w:eastAsia="方正仿宋简体" w:cs="仿宋"/>
          <w:b/>
          <w:color w:val="000000" w:themeColor="text1"/>
          <w:sz w:val="32"/>
          <w:szCs w:val="32"/>
          <w14:textFill>
            <w14:solidFill>
              <w14:schemeClr w14:val="tx1"/>
            </w14:solidFill>
          </w14:textFill>
        </w:rPr>
        <w:t>电子元器件</w:t>
      </w:r>
      <w:r>
        <w:rPr>
          <w:rFonts w:hint="eastAsia" w:ascii="Times New Roman" w:hAnsi="Times New Roman" w:eastAsia="方正仿宋简体" w:cs="仿宋"/>
          <w:color w:val="000000" w:themeColor="text1"/>
          <w:sz w:val="32"/>
          <w:szCs w:val="32"/>
          <w14:textFill>
            <w14:solidFill>
              <w14:schemeClr w14:val="tx1"/>
            </w14:solidFill>
          </w14:textFill>
        </w:rPr>
        <w:t>要紧抓片化式、微型化、多功能化和智能化方向，大力发展高可靠片式电容器、片式电阻器、压电陶瓷器件和微波元器件，积极抢占集成电路产业链上游。</w:t>
      </w:r>
      <w:r>
        <w:rPr>
          <w:rFonts w:hint="eastAsia" w:ascii="Times New Roman" w:hAnsi="Times New Roman" w:eastAsia="方正仿宋简体" w:cs="仿宋"/>
          <w:b/>
          <w:color w:val="000000" w:themeColor="text1"/>
          <w:sz w:val="32"/>
          <w:szCs w:val="32"/>
          <w14:textFill>
            <w14:solidFill>
              <w14:schemeClr w14:val="tx1"/>
            </w14:solidFill>
          </w14:textFill>
        </w:rPr>
        <w:t>新材料</w:t>
      </w:r>
      <w:r>
        <w:rPr>
          <w:rFonts w:hint="eastAsia" w:ascii="Times New Roman" w:hAnsi="Times New Roman" w:eastAsia="方正仿宋简体" w:cs="仿宋"/>
          <w:color w:val="000000" w:themeColor="text1"/>
          <w:sz w:val="32"/>
          <w:szCs w:val="32"/>
          <w14:textFill>
            <w14:solidFill>
              <w14:schemeClr w14:val="tx1"/>
            </w14:solidFill>
          </w14:textFill>
        </w:rPr>
        <w:t>要重点研发陶瓷材料、发泡材料、纬编运动面料等新材料，加快开发纳米石墨烯复合氢氧化镍电极材料制备及其在镍氢电池中的应用技术，加强在细分领域自主研发，打破关键技术瓶颈。</w:t>
      </w:r>
    </w:p>
    <w:p w14:paraId="7263A6B3">
      <w:pPr>
        <w:pStyle w:val="22"/>
        <w:widowControl w:val="0"/>
        <w:spacing w:before="0" w:beforeAutospacing="0" w:after="0" w:afterAutospacing="0"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p w14:paraId="18F268EA">
      <w:pPr>
        <w:pStyle w:val="22"/>
        <w:widowControl w:val="0"/>
        <w:spacing w:before="0" w:beforeAutospacing="0" w:after="0" w:afterAutospacing="0"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p w14:paraId="37DE31C5">
      <w:pPr>
        <w:pStyle w:val="22"/>
        <w:widowControl w:val="0"/>
        <w:spacing w:before="0" w:beforeAutospacing="0" w:after="0" w:afterAutospacing="0" w:line="580" w:lineRule="exact"/>
        <w:ind w:firstLine="562" w:firstLineChars="200"/>
        <w:jc w:val="center"/>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t>专栏8 制造业主导产业发展路径图</w:t>
      </w:r>
    </w:p>
    <w:tbl>
      <w:tblPr>
        <w:tblStyle w:val="27"/>
        <w:tblW w:w="57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898"/>
        <w:gridCol w:w="1739"/>
        <w:gridCol w:w="2411"/>
        <w:gridCol w:w="2562"/>
        <w:gridCol w:w="2266"/>
      </w:tblGrid>
      <w:tr w14:paraId="133B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3" w:type="pct"/>
            <w:gridSpan w:val="2"/>
            <w:vAlign w:val="center"/>
          </w:tcPr>
          <w:p w14:paraId="4988D058">
            <w:pPr>
              <w:widowControl w:val="0"/>
              <w:spacing w:line="440" w:lineRule="exact"/>
              <w:jc w:val="center"/>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产业</w:t>
            </w:r>
          </w:p>
        </w:tc>
        <w:tc>
          <w:tcPr>
            <w:tcW w:w="838" w:type="pct"/>
            <w:vAlign w:val="center"/>
          </w:tcPr>
          <w:p w14:paraId="73982783">
            <w:pPr>
              <w:widowControl w:val="0"/>
              <w:spacing w:line="440" w:lineRule="exact"/>
              <w:jc w:val="center"/>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发展目标</w:t>
            </w:r>
          </w:p>
        </w:tc>
        <w:tc>
          <w:tcPr>
            <w:tcW w:w="1162" w:type="pct"/>
            <w:vAlign w:val="center"/>
          </w:tcPr>
          <w:p w14:paraId="6FDDEA44">
            <w:pPr>
              <w:widowControl w:val="0"/>
              <w:spacing w:line="440" w:lineRule="exact"/>
              <w:jc w:val="center"/>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产业基础和产业链优化方向</w:t>
            </w:r>
          </w:p>
        </w:tc>
        <w:tc>
          <w:tcPr>
            <w:tcW w:w="1235" w:type="pct"/>
            <w:vAlign w:val="center"/>
          </w:tcPr>
          <w:p w14:paraId="7AE4BC8B">
            <w:pPr>
              <w:widowControl w:val="0"/>
              <w:spacing w:line="440" w:lineRule="exact"/>
              <w:jc w:val="center"/>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支撑平台</w:t>
            </w:r>
          </w:p>
        </w:tc>
        <w:tc>
          <w:tcPr>
            <w:tcW w:w="1092" w:type="pct"/>
            <w:vAlign w:val="center"/>
          </w:tcPr>
          <w:p w14:paraId="19BCA7C3">
            <w:pPr>
              <w:widowControl w:val="0"/>
              <w:spacing w:line="440" w:lineRule="exact"/>
              <w:jc w:val="center"/>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重点项目</w:t>
            </w:r>
          </w:p>
        </w:tc>
      </w:tr>
      <w:tr w14:paraId="66B3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240" w:type="pct"/>
            <w:vAlign w:val="center"/>
          </w:tcPr>
          <w:p w14:paraId="65C32CA3">
            <w:pPr>
              <w:widowControl w:val="0"/>
              <w:spacing w:line="440" w:lineRule="exact"/>
              <w:jc w:val="both"/>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传统优势制造业</w:t>
            </w:r>
          </w:p>
        </w:tc>
        <w:tc>
          <w:tcPr>
            <w:tcW w:w="433" w:type="pct"/>
            <w:vAlign w:val="center"/>
          </w:tcPr>
          <w:p w14:paraId="22BE4774">
            <w:pPr>
              <w:widowControl w:val="0"/>
              <w:spacing w:line="440" w:lineRule="exact"/>
              <w:jc w:val="center"/>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纺织鞋服</w:t>
            </w:r>
          </w:p>
        </w:tc>
        <w:tc>
          <w:tcPr>
            <w:tcW w:w="838" w:type="pct"/>
            <w:vAlign w:val="center"/>
          </w:tcPr>
          <w:p w14:paraId="7A0BE9BA">
            <w:pPr>
              <w:widowControl w:val="0"/>
              <w:spacing w:line="44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打造鞋服产业集群基地，到2025年，纺织鞋服产业集群规模达300亿元。</w:t>
            </w:r>
          </w:p>
        </w:tc>
        <w:tc>
          <w:tcPr>
            <w:tcW w:w="1162" w:type="pct"/>
            <w:vAlign w:val="center"/>
          </w:tcPr>
          <w:p w14:paraId="417E96D0">
            <w:pPr>
              <w:widowControl w:val="0"/>
              <w:spacing w:line="44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Cambria Math"/>
                <w:color w:val="000000" w:themeColor="text1"/>
                <w:szCs w:val="32"/>
                <w14:textFill>
                  <w14:solidFill>
                    <w14:schemeClr w14:val="tx1"/>
                  </w14:solidFill>
                </w14:textFill>
              </w:rPr>
              <w:t>（1）轻纺鞋服</w:t>
            </w:r>
            <w:r>
              <w:rPr>
                <w:rFonts w:hint="eastAsia" w:ascii="Times New Roman" w:hAnsi="Times New Roman" w:eastAsia="方正仿宋简体" w:cs="仿宋"/>
                <w:color w:val="000000" w:themeColor="text1"/>
                <w:szCs w:val="32"/>
                <w14:textFill>
                  <w14:solidFill>
                    <w14:schemeClr w14:val="tx1"/>
                  </w14:solidFill>
                </w14:textFill>
              </w:rPr>
              <w:t>辅料</w:t>
            </w:r>
          </w:p>
          <w:p w14:paraId="6E4B66E3">
            <w:pPr>
              <w:widowControl w:val="0"/>
              <w:spacing w:line="44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Cambria Math"/>
                <w:color w:val="000000" w:themeColor="text1"/>
                <w:szCs w:val="32"/>
                <w14:textFill>
                  <w14:solidFill>
                    <w14:schemeClr w14:val="tx1"/>
                  </w14:solidFill>
                </w14:textFill>
              </w:rPr>
              <w:t>（2）</w:t>
            </w:r>
            <w:r>
              <w:rPr>
                <w:rFonts w:hint="eastAsia" w:ascii="Times New Roman" w:hAnsi="Times New Roman" w:eastAsia="方正仿宋简体" w:cs="仿宋"/>
                <w:color w:val="000000" w:themeColor="text1"/>
                <w:szCs w:val="32"/>
                <w14:textFill>
                  <w14:solidFill>
                    <w14:schemeClr w14:val="tx1"/>
                  </w14:solidFill>
                </w14:textFill>
              </w:rPr>
              <w:t>长丝化纤品</w:t>
            </w:r>
          </w:p>
          <w:p w14:paraId="469D4B02">
            <w:pPr>
              <w:widowControl w:val="0"/>
              <w:spacing w:line="44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Cambria Math"/>
                <w:color w:val="000000" w:themeColor="text1"/>
                <w:szCs w:val="32"/>
                <w14:textFill>
                  <w14:solidFill>
                    <w14:schemeClr w14:val="tx1"/>
                  </w14:solidFill>
                </w14:textFill>
              </w:rPr>
              <w:t>（3）</w:t>
            </w:r>
            <w:r>
              <w:rPr>
                <w:rFonts w:hint="eastAsia" w:ascii="Times New Roman" w:hAnsi="Times New Roman" w:eastAsia="方正仿宋简体" w:cs="仿宋"/>
                <w:color w:val="000000" w:themeColor="text1"/>
                <w:szCs w:val="32"/>
                <w14:textFill>
                  <w14:solidFill>
                    <w14:schemeClr w14:val="tx1"/>
                  </w14:solidFill>
                </w14:textFill>
              </w:rPr>
              <w:t>时尚服装业</w:t>
            </w:r>
          </w:p>
          <w:p w14:paraId="74089C4A">
            <w:pPr>
              <w:widowControl w:val="0"/>
              <w:spacing w:line="44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Cambria Math"/>
                <w:color w:val="000000" w:themeColor="text1"/>
                <w:szCs w:val="32"/>
                <w14:textFill>
                  <w14:solidFill>
                    <w14:schemeClr w14:val="tx1"/>
                  </w14:solidFill>
                </w14:textFill>
              </w:rPr>
              <w:t>（4）</w:t>
            </w:r>
            <w:r>
              <w:rPr>
                <w:rFonts w:hint="eastAsia" w:ascii="Times New Roman" w:hAnsi="Times New Roman" w:eastAsia="方正仿宋简体" w:cs="仿宋"/>
                <w:color w:val="000000" w:themeColor="text1"/>
                <w:szCs w:val="32"/>
                <w14:textFill>
                  <w14:solidFill>
                    <w14:schemeClr w14:val="tx1"/>
                  </w14:solidFill>
                </w14:textFill>
              </w:rPr>
              <w:t>时尚制鞋业</w:t>
            </w:r>
          </w:p>
        </w:tc>
        <w:tc>
          <w:tcPr>
            <w:tcW w:w="1235" w:type="pct"/>
            <w:vAlign w:val="center"/>
          </w:tcPr>
          <w:p w14:paraId="20F17C58">
            <w:pPr>
              <w:widowControl w:val="0"/>
              <w:spacing w:line="44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kern w:val="2"/>
                <w:szCs w:val="32"/>
                <w14:textFill>
                  <w14:solidFill>
                    <w14:schemeClr w14:val="tx1"/>
                  </w14:solidFill>
                </w14:textFill>
              </w:rPr>
              <w:t>国家产业用纺织品（教育部）工程研究中心</w:t>
            </w:r>
            <w:r>
              <w:rPr>
                <w:rFonts w:hint="eastAsia" w:ascii="Times New Roman" w:hAnsi="Times New Roman" w:eastAsia="方正仿宋简体" w:cs="仿宋"/>
                <w:color w:val="000000" w:themeColor="text1"/>
                <w:szCs w:val="32"/>
                <w14:textFill>
                  <w14:solidFill>
                    <w14:schemeClr w14:val="tx1"/>
                  </w14:solidFill>
                </w14:textFill>
              </w:rPr>
              <w:t>、泉州市热熔胶涂布工程技术研究中心、泉州海天轻纺有限公司技术创新中心、织造协同管理云平台等。</w:t>
            </w:r>
          </w:p>
        </w:tc>
        <w:tc>
          <w:tcPr>
            <w:tcW w:w="1092" w:type="pct"/>
            <w:vAlign w:val="center"/>
          </w:tcPr>
          <w:p w14:paraId="7EEDAB30">
            <w:pPr>
              <w:widowControl w:val="0"/>
              <w:spacing w:line="44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海天材料纺织服装创新中心、高端卫生材料织造项目、鸿星尔克儿童鞋服基地及智能物流集散基地、万家鑫鞋材研发基地等。</w:t>
            </w:r>
          </w:p>
        </w:tc>
      </w:tr>
      <w:tr w14:paraId="69FD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jc w:val="center"/>
        </w:trPr>
        <w:tc>
          <w:tcPr>
            <w:tcW w:w="240" w:type="pct"/>
            <w:vAlign w:val="center"/>
          </w:tcPr>
          <w:p w14:paraId="6255D0DF">
            <w:pPr>
              <w:widowControl w:val="0"/>
              <w:spacing w:line="440" w:lineRule="exact"/>
              <w:jc w:val="both"/>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传统优势制造业</w:t>
            </w:r>
          </w:p>
        </w:tc>
        <w:tc>
          <w:tcPr>
            <w:tcW w:w="433" w:type="pct"/>
            <w:vAlign w:val="center"/>
          </w:tcPr>
          <w:p w14:paraId="56F2D803">
            <w:pPr>
              <w:widowControl w:val="0"/>
              <w:spacing w:line="440" w:lineRule="exact"/>
              <w:jc w:val="center"/>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机械汽配</w:t>
            </w:r>
          </w:p>
        </w:tc>
        <w:tc>
          <w:tcPr>
            <w:tcW w:w="838" w:type="pct"/>
            <w:vAlign w:val="center"/>
          </w:tcPr>
          <w:p w14:paraId="61DFE08C">
            <w:pPr>
              <w:widowControl w:val="0"/>
              <w:spacing w:line="440" w:lineRule="exact"/>
              <w:jc w:val="both"/>
              <w:rPr>
                <w:rFonts w:ascii="Times New Roman" w:hAnsi="Times New Roman" w:eastAsia="方正仿宋简体" w:cs="仿宋"/>
                <w:color w:val="000000" w:themeColor="text1"/>
                <w:kern w:val="2"/>
                <w:szCs w:val="32"/>
                <w14:textFill>
                  <w14:solidFill>
                    <w14:schemeClr w14:val="tx1"/>
                  </w14:solidFill>
                </w14:textFill>
              </w:rPr>
            </w:pPr>
            <w:r>
              <w:rPr>
                <w:rFonts w:hint="eastAsia" w:ascii="Times New Roman" w:hAnsi="Times New Roman" w:eastAsia="方正仿宋简体" w:cs="仿宋"/>
                <w:color w:val="000000" w:themeColor="text1"/>
                <w:kern w:val="2"/>
                <w:szCs w:val="32"/>
                <w14:textFill>
                  <w14:solidFill>
                    <w14:schemeClr w14:val="tx1"/>
                  </w14:solidFill>
                </w14:textFill>
              </w:rPr>
              <w:t>打造区域重要装备制造产业转型升级示范基地</w:t>
            </w:r>
            <w:r>
              <w:rPr>
                <w:rFonts w:hint="eastAsia" w:ascii="Times New Roman" w:hAnsi="Times New Roman" w:eastAsia="方正仿宋简体" w:cs="仿宋"/>
                <w:color w:val="000000" w:themeColor="text1"/>
                <w:szCs w:val="32"/>
                <w14:textFill>
                  <w14:solidFill>
                    <w14:schemeClr w14:val="tx1"/>
                  </w14:solidFill>
                </w14:textFill>
              </w:rPr>
              <w:t>，</w:t>
            </w:r>
            <w:r>
              <w:rPr>
                <w:rFonts w:hint="eastAsia" w:ascii="Times New Roman" w:hAnsi="Times New Roman" w:eastAsia="方正仿宋简体" w:cs="仿宋"/>
                <w:color w:val="000000" w:themeColor="text1"/>
                <w:kern w:val="2"/>
                <w:szCs w:val="32"/>
                <w14:textFill>
                  <w14:solidFill>
                    <w14:schemeClr w14:val="tx1"/>
                  </w14:solidFill>
                </w14:textFill>
              </w:rPr>
              <w:t>到2025年机械汽配产业集群规模达100亿元。</w:t>
            </w:r>
          </w:p>
        </w:tc>
        <w:tc>
          <w:tcPr>
            <w:tcW w:w="1162" w:type="pct"/>
            <w:vAlign w:val="center"/>
          </w:tcPr>
          <w:p w14:paraId="65D203C2">
            <w:pPr>
              <w:widowControl w:val="0"/>
              <w:spacing w:line="440" w:lineRule="exact"/>
              <w:jc w:val="both"/>
              <w:rPr>
                <w:rFonts w:ascii="Times New Roman" w:hAnsi="Times New Roman" w:eastAsia="方正仿宋简体" w:cs="仿宋"/>
                <w:color w:val="000000" w:themeColor="text1"/>
                <w:kern w:val="2"/>
                <w:szCs w:val="32"/>
                <w14:textFill>
                  <w14:solidFill>
                    <w14:schemeClr w14:val="tx1"/>
                  </w14:solidFill>
                </w14:textFill>
              </w:rPr>
            </w:pPr>
            <w:r>
              <w:rPr>
                <w:rFonts w:hint="eastAsia" w:ascii="Times New Roman" w:hAnsi="Times New Roman" w:eastAsia="方正仿宋简体" w:cs="Cambria Math"/>
                <w:color w:val="000000" w:themeColor="text1"/>
                <w:szCs w:val="32"/>
                <w14:textFill>
                  <w14:solidFill>
                    <w14:schemeClr w14:val="tx1"/>
                  </w14:solidFill>
                </w14:textFill>
              </w:rPr>
              <w:t>（1）</w:t>
            </w:r>
            <w:r>
              <w:rPr>
                <w:rFonts w:hint="eastAsia" w:ascii="Times New Roman" w:hAnsi="Times New Roman" w:eastAsia="方正仿宋简体" w:cs="仿宋"/>
                <w:color w:val="000000" w:themeColor="text1"/>
                <w:kern w:val="2"/>
                <w:szCs w:val="32"/>
                <w14:textFill>
                  <w14:solidFill>
                    <w14:schemeClr w14:val="tx1"/>
                  </w14:solidFill>
                </w14:textFill>
              </w:rPr>
              <w:t>环保餐具、纺织、纸制品等机械生产设备</w:t>
            </w:r>
          </w:p>
          <w:p w14:paraId="1547798D">
            <w:pPr>
              <w:widowControl w:val="0"/>
              <w:spacing w:line="440" w:lineRule="exact"/>
              <w:jc w:val="both"/>
              <w:rPr>
                <w:rFonts w:ascii="Times New Roman" w:hAnsi="Times New Roman" w:eastAsia="方正仿宋简体" w:cs="仿宋"/>
                <w:color w:val="000000" w:themeColor="text1"/>
                <w:kern w:val="2"/>
                <w:szCs w:val="32"/>
                <w14:textFill>
                  <w14:solidFill>
                    <w14:schemeClr w14:val="tx1"/>
                  </w14:solidFill>
                </w14:textFill>
              </w:rPr>
            </w:pPr>
            <w:r>
              <w:rPr>
                <w:rFonts w:hint="eastAsia" w:ascii="Times New Roman" w:hAnsi="Times New Roman" w:eastAsia="方正仿宋简体" w:cs="Cambria Math"/>
                <w:color w:val="000000" w:themeColor="text1"/>
                <w:szCs w:val="32"/>
                <w14:textFill>
                  <w14:solidFill>
                    <w14:schemeClr w14:val="tx1"/>
                  </w14:solidFill>
                </w14:textFill>
              </w:rPr>
              <w:t>（2）</w:t>
            </w:r>
            <w:r>
              <w:rPr>
                <w:rFonts w:hint="eastAsia" w:ascii="Times New Roman" w:hAnsi="Times New Roman" w:eastAsia="方正仿宋简体" w:cs="仿宋"/>
                <w:color w:val="000000" w:themeColor="text1"/>
                <w:kern w:val="2"/>
                <w:szCs w:val="32"/>
                <w14:textFill>
                  <w14:solidFill>
                    <w14:schemeClr w14:val="tx1"/>
                  </w14:solidFill>
                </w14:textFill>
              </w:rPr>
              <w:t>节能环保设备</w:t>
            </w:r>
          </w:p>
          <w:p w14:paraId="5CC538FA">
            <w:pPr>
              <w:widowControl w:val="0"/>
              <w:spacing w:line="440" w:lineRule="exact"/>
              <w:jc w:val="both"/>
              <w:rPr>
                <w:rFonts w:ascii="Times New Roman" w:hAnsi="Times New Roman" w:eastAsia="方正仿宋简体" w:cs="仿宋"/>
                <w:color w:val="000000" w:themeColor="text1"/>
                <w:kern w:val="2"/>
                <w:szCs w:val="32"/>
                <w14:textFill>
                  <w14:solidFill>
                    <w14:schemeClr w14:val="tx1"/>
                  </w14:solidFill>
                </w14:textFill>
              </w:rPr>
            </w:pPr>
            <w:r>
              <w:rPr>
                <w:rFonts w:hint="eastAsia" w:ascii="Times New Roman" w:hAnsi="Times New Roman" w:eastAsia="方正仿宋简体" w:cs="Cambria Math"/>
                <w:color w:val="000000" w:themeColor="text1"/>
                <w:szCs w:val="32"/>
                <w14:textFill>
                  <w14:solidFill>
                    <w14:schemeClr w14:val="tx1"/>
                  </w14:solidFill>
                </w14:textFill>
              </w:rPr>
              <w:t>（3）</w:t>
            </w:r>
            <w:r>
              <w:rPr>
                <w:rFonts w:hint="eastAsia" w:ascii="Times New Roman" w:hAnsi="Times New Roman" w:eastAsia="方正仿宋简体" w:cs="仿宋"/>
                <w:color w:val="000000" w:themeColor="text1"/>
                <w:kern w:val="2"/>
                <w:szCs w:val="32"/>
                <w14:textFill>
                  <w14:solidFill>
                    <w14:schemeClr w14:val="tx1"/>
                  </w14:solidFill>
                </w14:textFill>
              </w:rPr>
              <w:t>全数控智能机械装备</w:t>
            </w:r>
          </w:p>
          <w:p w14:paraId="71477E9D">
            <w:pPr>
              <w:widowControl w:val="0"/>
              <w:spacing w:line="44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Cambria Math"/>
                <w:color w:val="000000" w:themeColor="text1"/>
                <w:szCs w:val="32"/>
                <w14:textFill>
                  <w14:solidFill>
                    <w14:schemeClr w14:val="tx1"/>
                  </w14:solidFill>
                </w14:textFill>
              </w:rPr>
              <w:t>（4）</w:t>
            </w:r>
            <w:r>
              <w:rPr>
                <w:rFonts w:hint="eastAsia" w:ascii="Times New Roman" w:hAnsi="Times New Roman" w:eastAsia="方正仿宋简体" w:cs="仿宋"/>
                <w:color w:val="000000" w:themeColor="text1"/>
                <w:kern w:val="2"/>
                <w:szCs w:val="32"/>
                <w14:textFill>
                  <w14:solidFill>
                    <w14:schemeClr w14:val="tx1"/>
                  </w14:solidFill>
                </w14:textFill>
              </w:rPr>
              <w:t>工程机械及汽车配件产业</w:t>
            </w:r>
          </w:p>
        </w:tc>
        <w:tc>
          <w:tcPr>
            <w:tcW w:w="1235" w:type="pct"/>
            <w:vAlign w:val="center"/>
          </w:tcPr>
          <w:p w14:paraId="26684C2F">
            <w:pPr>
              <w:widowControl w:val="0"/>
              <w:spacing w:line="44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kern w:val="2"/>
                <w:szCs w:val="32"/>
                <w14:textFill>
                  <w14:solidFill>
                    <w14:schemeClr w14:val="tx1"/>
                  </w14:solidFill>
                </w14:textFill>
              </w:rPr>
              <w:t>泉州市汉威卫生用品装备研究院</w:t>
            </w:r>
            <w:r>
              <w:rPr>
                <w:rFonts w:hint="eastAsia" w:ascii="Times New Roman" w:hAnsi="Times New Roman" w:eastAsia="方正仿宋简体" w:cs="仿宋"/>
                <w:color w:val="000000" w:themeColor="text1"/>
                <w:szCs w:val="32"/>
                <w14:textFill>
                  <w14:solidFill>
                    <w14:schemeClr w14:val="tx1"/>
                  </w14:solidFill>
                </w14:textFill>
              </w:rPr>
              <w:t>、</w:t>
            </w:r>
            <w:r>
              <w:rPr>
                <w:rFonts w:hint="eastAsia" w:ascii="Times New Roman" w:hAnsi="Times New Roman" w:eastAsia="方正仿宋简体" w:cs="仿宋"/>
                <w:color w:val="000000" w:themeColor="text1"/>
                <w:kern w:val="2"/>
                <w:szCs w:val="32"/>
                <w14:textFill>
                  <w14:solidFill>
                    <w14:schemeClr w14:val="tx1"/>
                  </w14:solidFill>
                </w14:textFill>
              </w:rPr>
              <w:t>泉州梅洋塑胶超薄注塑成型及模具与自动化装备研究院</w:t>
            </w:r>
            <w:r>
              <w:rPr>
                <w:rFonts w:hint="eastAsia" w:ascii="Times New Roman" w:hAnsi="Times New Roman" w:eastAsia="方正仿宋简体" w:cs="仿宋"/>
                <w:color w:val="000000" w:themeColor="text1"/>
                <w:szCs w:val="32"/>
                <w14:textFill>
                  <w14:solidFill>
                    <w14:schemeClr w14:val="tx1"/>
                  </w14:solidFill>
                </w14:textFill>
              </w:rPr>
              <w:t>、远东环保机械中心、福建省变频智能控制企业工程技术研究中心、福建省针织大圆机企业工程技术研究中心等。</w:t>
            </w:r>
          </w:p>
        </w:tc>
        <w:tc>
          <w:tcPr>
            <w:tcW w:w="1092" w:type="pct"/>
            <w:vAlign w:val="center"/>
          </w:tcPr>
          <w:p w14:paraId="7791465B">
            <w:pPr>
              <w:widowControl w:val="0"/>
              <w:spacing w:line="44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恒劲科博流量测量仪表生产项目、田中机械汽车配件及工程配件配套铸件项目、七星电气无尘自动化智能车间等。</w:t>
            </w:r>
          </w:p>
        </w:tc>
      </w:tr>
      <w:tr w14:paraId="463D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vAlign w:val="center"/>
          </w:tcPr>
          <w:p w14:paraId="11B4326A">
            <w:pPr>
              <w:widowControl w:val="0"/>
              <w:spacing w:line="440" w:lineRule="exact"/>
              <w:jc w:val="both"/>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战略性新兴产业</w:t>
            </w:r>
          </w:p>
        </w:tc>
        <w:tc>
          <w:tcPr>
            <w:tcW w:w="433" w:type="pct"/>
            <w:vAlign w:val="center"/>
          </w:tcPr>
          <w:p w14:paraId="07AF18DE">
            <w:pPr>
              <w:widowControl w:val="0"/>
              <w:spacing w:line="440" w:lineRule="exact"/>
              <w:jc w:val="center"/>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新一代信息技术</w:t>
            </w:r>
          </w:p>
        </w:tc>
        <w:tc>
          <w:tcPr>
            <w:tcW w:w="838" w:type="pct"/>
            <w:vAlign w:val="center"/>
          </w:tcPr>
          <w:p w14:paraId="416E71D7">
            <w:pPr>
              <w:widowControl w:val="0"/>
              <w:spacing w:line="440" w:lineRule="exact"/>
              <w:jc w:val="both"/>
              <w:rPr>
                <w:rFonts w:ascii="Times New Roman" w:hAnsi="Times New Roman" w:eastAsia="方正仿宋简体" w:cs="仿宋"/>
                <w:color w:val="000000" w:themeColor="text1"/>
                <w:szCs w:val="32"/>
                <w14:textFill>
                  <w14:solidFill>
                    <w14:schemeClr w14:val="tx1"/>
                  </w14:solidFill>
                </w14:textFill>
              </w:rPr>
            </w:pPr>
            <w:bookmarkStart w:id="89" w:name="_Hlk59459207"/>
            <w:r>
              <w:rPr>
                <w:rFonts w:hint="eastAsia" w:ascii="Times New Roman" w:hAnsi="Times New Roman" w:eastAsia="方正仿宋简体" w:cs="仿宋"/>
                <w:color w:val="000000" w:themeColor="text1"/>
                <w:szCs w:val="32"/>
                <w14:textFill>
                  <w14:solidFill>
                    <w14:schemeClr w14:val="tx1"/>
                  </w14:solidFill>
                </w14:textFill>
              </w:rPr>
              <w:t>打造先进电子信息技术制造基地</w:t>
            </w:r>
            <w:bookmarkEnd w:id="89"/>
            <w:r>
              <w:rPr>
                <w:rFonts w:hint="eastAsia" w:ascii="Times New Roman" w:hAnsi="Times New Roman" w:eastAsia="方正仿宋简体" w:cs="仿宋"/>
                <w:color w:val="000000" w:themeColor="text1"/>
                <w:szCs w:val="32"/>
                <w14:textFill>
                  <w14:solidFill>
                    <w14:schemeClr w14:val="tx1"/>
                  </w14:solidFill>
                </w14:textFill>
              </w:rPr>
              <w:t>，</w:t>
            </w:r>
            <w:r>
              <w:rPr>
                <w:rFonts w:hint="eastAsia" w:ascii="Times New Roman" w:hAnsi="Times New Roman" w:eastAsia="方正仿宋简体" w:cs="仿宋"/>
                <w:color w:val="000000" w:themeColor="text1"/>
                <w:kern w:val="2"/>
                <w:szCs w:val="32"/>
                <w14:textFill>
                  <w14:solidFill>
                    <w14:schemeClr w14:val="tx1"/>
                  </w14:solidFill>
                </w14:textFill>
              </w:rPr>
              <w:t>力争到2025年，新一代信息技术产业集群规模达150亿元。</w:t>
            </w:r>
          </w:p>
        </w:tc>
        <w:tc>
          <w:tcPr>
            <w:tcW w:w="1162" w:type="pct"/>
            <w:vAlign w:val="center"/>
          </w:tcPr>
          <w:p w14:paraId="588B6906">
            <w:pPr>
              <w:widowControl w:val="0"/>
              <w:spacing w:line="44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Cambria Math"/>
                <w:color w:val="000000" w:themeColor="text1"/>
                <w:szCs w:val="32"/>
                <w14:textFill>
                  <w14:solidFill>
                    <w14:schemeClr w14:val="tx1"/>
                  </w14:solidFill>
                </w14:textFill>
              </w:rPr>
              <w:t>（1）</w:t>
            </w:r>
            <w:r>
              <w:rPr>
                <w:rFonts w:hint="eastAsia" w:ascii="Times New Roman" w:hAnsi="Times New Roman" w:eastAsia="方正仿宋简体" w:cs="仿宋"/>
                <w:color w:val="000000" w:themeColor="text1"/>
                <w:szCs w:val="32"/>
                <w14:textFill>
                  <w14:solidFill>
                    <w14:schemeClr w14:val="tx1"/>
                  </w14:solidFill>
                </w14:textFill>
              </w:rPr>
              <w:t>光电产业</w:t>
            </w:r>
          </w:p>
          <w:p w14:paraId="151BBEB8">
            <w:pPr>
              <w:widowControl w:val="0"/>
              <w:spacing w:line="44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Cambria Math"/>
                <w:color w:val="000000" w:themeColor="text1"/>
                <w:szCs w:val="32"/>
                <w14:textFill>
                  <w14:solidFill>
                    <w14:schemeClr w14:val="tx1"/>
                  </w14:solidFill>
                </w14:textFill>
              </w:rPr>
              <w:t>（2）</w:t>
            </w:r>
            <w:r>
              <w:rPr>
                <w:rFonts w:hint="eastAsia" w:ascii="Times New Roman" w:hAnsi="Times New Roman" w:eastAsia="方正仿宋简体" w:cs="仿宋"/>
                <w:color w:val="000000" w:themeColor="text1"/>
                <w:szCs w:val="32"/>
                <w14:textFill>
                  <w14:solidFill>
                    <w14:schemeClr w14:val="tx1"/>
                  </w14:solidFill>
                </w14:textFill>
              </w:rPr>
              <w:t>电子元器件</w:t>
            </w:r>
          </w:p>
          <w:p w14:paraId="0DDC4FD8">
            <w:pPr>
              <w:widowControl w:val="0"/>
              <w:spacing w:line="44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Cambria Math"/>
                <w:color w:val="000000" w:themeColor="text1"/>
                <w:szCs w:val="32"/>
                <w14:textFill>
                  <w14:solidFill>
                    <w14:schemeClr w14:val="tx1"/>
                  </w14:solidFill>
                </w14:textFill>
              </w:rPr>
              <w:t>（3）</w:t>
            </w:r>
            <w:r>
              <w:rPr>
                <w:rFonts w:hint="eastAsia" w:ascii="Times New Roman" w:hAnsi="Times New Roman" w:eastAsia="方正仿宋简体" w:cs="仿宋"/>
                <w:color w:val="000000" w:themeColor="text1"/>
                <w:szCs w:val="32"/>
                <w14:textFill>
                  <w14:solidFill>
                    <w14:schemeClr w14:val="tx1"/>
                  </w14:solidFill>
                </w14:textFill>
              </w:rPr>
              <w:t>新材料</w:t>
            </w:r>
          </w:p>
        </w:tc>
        <w:tc>
          <w:tcPr>
            <w:tcW w:w="1235" w:type="pct"/>
            <w:vAlign w:val="center"/>
          </w:tcPr>
          <w:p w14:paraId="3B63062E">
            <w:pPr>
              <w:widowControl w:val="0"/>
              <w:spacing w:line="44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kern w:val="2"/>
                <w:szCs w:val="32"/>
                <w14:textFill>
                  <w14:solidFill>
                    <w14:schemeClr w14:val="tx1"/>
                  </w14:solidFill>
                </w14:textFill>
              </w:rPr>
              <w:t>泉州区块链微波信息技术研究院</w:t>
            </w:r>
            <w:r>
              <w:rPr>
                <w:rFonts w:hint="eastAsia" w:ascii="Times New Roman" w:hAnsi="Times New Roman" w:eastAsia="方正仿宋简体" w:cs="仿宋"/>
                <w:color w:val="000000" w:themeColor="text1"/>
                <w:szCs w:val="32"/>
                <w14:textFill>
                  <w14:solidFill>
                    <w14:schemeClr w14:val="tx1"/>
                  </w14:solidFill>
                </w14:textFill>
              </w:rPr>
              <w:t>、</w:t>
            </w:r>
            <w:r>
              <w:rPr>
                <w:rFonts w:hint="eastAsia" w:ascii="Times New Roman" w:hAnsi="Times New Roman" w:eastAsia="方正仿宋简体" w:cs="仿宋"/>
                <w:color w:val="000000" w:themeColor="text1"/>
                <w:kern w:val="2"/>
                <w:szCs w:val="32"/>
                <w14:textFill>
                  <w14:solidFill>
                    <w14:schemeClr w14:val="tx1"/>
                  </w14:solidFill>
                </w14:textFill>
              </w:rPr>
              <w:t>福建众益智慧路灯研究院</w:t>
            </w:r>
            <w:r>
              <w:rPr>
                <w:rFonts w:hint="eastAsia" w:ascii="Times New Roman" w:hAnsi="Times New Roman" w:eastAsia="方正仿宋简体" w:cs="仿宋"/>
                <w:color w:val="000000" w:themeColor="text1"/>
                <w:szCs w:val="32"/>
                <w14:textFill>
                  <w14:solidFill>
                    <w14:schemeClr w14:val="tx1"/>
                  </w14:solidFill>
                </w14:textFill>
              </w:rPr>
              <w:t>、</w:t>
            </w:r>
            <w:r>
              <w:rPr>
                <w:rFonts w:hint="eastAsia" w:ascii="Times New Roman" w:hAnsi="Times New Roman" w:eastAsia="方正仿宋简体" w:cs="仿宋"/>
                <w:color w:val="000000" w:themeColor="text1"/>
                <w:kern w:val="2"/>
                <w:szCs w:val="32"/>
                <w14:textFill>
                  <w14:solidFill>
                    <w14:schemeClr w14:val="tx1"/>
                  </w14:solidFill>
                </w14:textFill>
              </w:rPr>
              <w:t>福建省陶瓷电介质材料研究院</w:t>
            </w:r>
            <w:r>
              <w:rPr>
                <w:rFonts w:hint="eastAsia" w:ascii="Times New Roman" w:hAnsi="Times New Roman" w:eastAsia="方正仿宋简体" w:cs="仿宋"/>
                <w:color w:val="000000" w:themeColor="text1"/>
                <w:szCs w:val="32"/>
                <w14:textFill>
                  <w14:solidFill>
                    <w14:schemeClr w14:val="tx1"/>
                  </w14:solidFill>
                </w14:textFill>
              </w:rPr>
              <w:t>、泉州市半导体照明灯具工程技术研究中心等。</w:t>
            </w:r>
          </w:p>
        </w:tc>
        <w:tc>
          <w:tcPr>
            <w:tcW w:w="1092" w:type="pct"/>
            <w:vAlign w:val="center"/>
          </w:tcPr>
          <w:p w14:paraId="6D374404">
            <w:pPr>
              <w:widowControl w:val="0"/>
              <w:spacing w:line="44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火炬电子泉州智慧总部基地、小体积薄介质层陶瓷电容器高技术产业化项目、毫米电子片式电阻器项目、众益太阳能5G智能灯杆项目、钧石能源HDT高效太阳能项目等。</w:t>
            </w:r>
          </w:p>
        </w:tc>
      </w:tr>
    </w:tbl>
    <w:p w14:paraId="29786579">
      <w:pPr>
        <w:pStyle w:val="3"/>
        <w:keepNext w:val="0"/>
        <w:keepLines w:val="0"/>
        <w:spacing w:before="0" w:after="0" w:line="590" w:lineRule="exact"/>
        <w:jc w:val="center"/>
        <w:rPr>
          <w:rFonts w:ascii="Times New Roman" w:hAnsi="Times New Roman" w:eastAsia="黑体" w:cs="Times New Roman (标题 CS)"/>
          <w:b w:val="0"/>
          <w:color w:val="000000" w:themeColor="text1"/>
          <w14:textFill>
            <w14:solidFill>
              <w14:schemeClr w14:val="tx1"/>
            </w14:solidFill>
          </w14:textFill>
        </w:rPr>
      </w:pPr>
      <w:bookmarkStart w:id="90" w:name="_Toc59811664"/>
      <w:bookmarkStart w:id="91" w:name="_Toc74035501"/>
      <w:bookmarkStart w:id="92" w:name="_Toc73976149"/>
      <w:r>
        <w:rPr>
          <w:rFonts w:hint="eastAsia" w:ascii="Times New Roman" w:hAnsi="Times New Roman" w:eastAsia="黑体" w:cs="Times New Roman (标题 CS)"/>
          <w:b w:val="0"/>
          <w:color w:val="000000" w:themeColor="text1"/>
          <w14:textFill>
            <w14:solidFill>
              <w14:schemeClr w14:val="tx1"/>
            </w14:solidFill>
          </w14:textFill>
        </w:rPr>
        <w:t>第二节 打造现代服务业新引擎</w:t>
      </w:r>
      <w:bookmarkEnd w:id="90"/>
      <w:bookmarkEnd w:id="91"/>
      <w:bookmarkEnd w:id="92"/>
    </w:p>
    <w:p w14:paraId="3D05F278"/>
    <w:p w14:paraId="15A37637">
      <w:pPr>
        <w:pStyle w:val="22"/>
        <w:widowControl w:val="0"/>
        <w:spacing w:before="0" w:beforeAutospacing="0" w:after="0" w:afterAutospacing="0"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坚持把现代服务业作为调结构促转型的战略重点，以增强集聚</w:t>
      </w:r>
      <w:r>
        <w:rPr>
          <w:rFonts w:hint="eastAsia" w:ascii="Times New Roman" w:hAnsi="Times New Roman" w:eastAsia="方正仿宋简体" w:cs="仿宋"/>
          <w:color w:val="000000" w:themeColor="text1"/>
          <w:spacing w:val="-4"/>
          <w:sz w:val="32"/>
          <w:szCs w:val="32"/>
          <w14:textFill>
            <w14:solidFill>
              <w14:schemeClr w14:val="tx1"/>
            </w14:solidFill>
          </w14:textFill>
        </w:rPr>
        <w:t>辐射与综合服务功能为目标，改善消费环境，推进消费需求由商品消费为主转向服务消费为主，推动需求侧改革，打通生产、分配、流通、消费各个环节，形成需求牵引供给，创造需求与供给的高水平的动态平衡，融入“双循环”新发展格局，推动生产性服务业向专业化和价值链高端延伸，推动生活性服务业向精细化和高品质转变，加快建设现代服务业区域辐射中心。</w:t>
      </w:r>
    </w:p>
    <w:p w14:paraId="61632BC9">
      <w:pPr>
        <w:widowControl w:val="0"/>
        <w:spacing w:line="590" w:lineRule="exact"/>
        <w:ind w:firstLine="643" w:firstLineChars="200"/>
        <w:jc w:val="both"/>
        <w:rPr>
          <w:rFonts w:ascii="Times New Roman" w:hAnsi="Times New Roman" w:eastAsia="方正楷体简体" w:cs="仿宋"/>
          <w:b/>
          <w:color w:val="000000" w:themeColor="text1"/>
          <w:sz w:val="32"/>
          <w:szCs w:val="32"/>
          <w14:textFill>
            <w14:solidFill>
              <w14:schemeClr w14:val="tx1"/>
            </w14:solidFill>
          </w14:textFill>
        </w:rPr>
      </w:pPr>
      <w:r>
        <w:rPr>
          <w:rFonts w:hint="eastAsia" w:ascii="Times New Roman" w:hAnsi="Times New Roman" w:eastAsia="方正楷体简体" w:cs="仿宋"/>
          <w:b/>
          <w:color w:val="000000" w:themeColor="text1"/>
          <w:sz w:val="32"/>
          <w:szCs w:val="32"/>
          <w14:textFill>
            <w14:solidFill>
              <w14:schemeClr w14:val="tx1"/>
            </w14:solidFill>
          </w14:textFill>
        </w:rPr>
        <w:t>（一）生产性服务业</w:t>
      </w:r>
    </w:p>
    <w:p w14:paraId="42AEB3F6">
      <w:pPr>
        <w:widowControl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基于鲤城制造业发展基础，瞄准其“微笑曲线”两端，支持生产性服务业发展，重点发展科技金融、电子商务、数字文创等，以产业转型升级需求为导向，推动生产性服务业与先进制造业深度融合。</w:t>
      </w:r>
    </w:p>
    <w:p w14:paraId="24BBA576">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——科技金融：</w:t>
      </w:r>
      <w:r>
        <w:rPr>
          <w:rFonts w:hint="eastAsia" w:ascii="Times New Roman" w:hAnsi="Times New Roman" w:eastAsia="方正仿宋简体" w:cs="仿宋"/>
          <w:color w:val="000000" w:themeColor="text1"/>
          <w:sz w:val="32"/>
          <w:szCs w:val="32"/>
          <w14:textFill>
            <w14:solidFill>
              <w14:schemeClr w14:val="tx1"/>
            </w14:solidFill>
          </w14:textFill>
        </w:rPr>
        <w:t>基于大数据、5G技术、区块链等信息技术，全面提升金融服务实体经济的能力。以扩张科技信贷破解企业融资难问题，降低企业融资门槛和科技研发成本，依托海峡科技银行等平台，引入第三方金融机构共同出资设立科技信贷风</w:t>
      </w:r>
      <w:r>
        <w:rPr>
          <w:rFonts w:hint="eastAsia" w:ascii="Times New Roman" w:hAnsi="Times New Roman" w:eastAsia="方正仿宋简体" w:cs="仿宋"/>
          <w:color w:val="000000" w:themeColor="text1"/>
          <w:spacing w:val="-4"/>
          <w:sz w:val="32"/>
          <w:szCs w:val="32"/>
          <w14:textFill>
            <w14:solidFill>
              <w14:schemeClr w14:val="tx1"/>
            </w14:solidFill>
          </w14:textFill>
        </w:rPr>
        <w:t>险池，为中小微企业提供应急周转金，为创新型企业科技研发提供专项贷款。激活高新区科技金融服务中心发展活力，加快推进鲤城文旅基金小镇与科技金融数字产业园项目落地，强化金融服务发展载体支撑，促进金融服务集聚，构建国际一流新金融产业生态圈，打造具有区域影响力辐射力的金融功能区，提高金融业态的集聚发展水平，创新金融产品和服务模式，优化贷款审批流程，不断满足企业资金需求，切实降低企业融资成本。</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8"/>
      </w:tblGrid>
      <w:tr w14:paraId="5EAB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shd w:val="clear" w:color="auto" w:fill="auto"/>
          </w:tcPr>
          <w:p w14:paraId="4F0FE0EF">
            <w:pPr>
              <w:widowControl w:val="0"/>
              <w:snapToGrid w:val="0"/>
              <w:spacing w:line="480" w:lineRule="exact"/>
              <w:jc w:val="center"/>
              <w:rPr>
                <w:rFonts w:ascii="Times New Roman" w:hAnsi="Times New Roman" w:eastAsia="方正仿宋简体" w:cs="仿宋"/>
                <w:b/>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0"/>
                <w14:textFill>
                  <w14:solidFill>
                    <w14:schemeClr w14:val="tx1"/>
                  </w14:solidFill>
                </w14:textFill>
              </w:rPr>
              <w:t xml:space="preserve">专栏9 </w:t>
            </w:r>
            <w:r>
              <w:rPr>
                <w:rFonts w:hint="eastAsia" w:ascii="Times New Roman" w:hAnsi="Times New Roman" w:eastAsia="方正仿宋简体" w:cs="仿宋"/>
                <w:b/>
                <w:color w:val="000000" w:themeColor="text1"/>
                <w:sz w:val="28"/>
                <w:szCs w:val="32"/>
                <w14:textFill>
                  <w14:solidFill>
                    <w14:schemeClr w14:val="tx1"/>
                  </w14:solidFill>
                </w14:textFill>
              </w:rPr>
              <w:t>科技金融服务产业园区建设</w:t>
            </w:r>
          </w:p>
        </w:tc>
      </w:tr>
      <w:tr w14:paraId="7198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shd w:val="clear" w:color="auto" w:fill="auto"/>
          </w:tcPr>
          <w:p w14:paraId="569FFDBC">
            <w:pPr>
              <w:widowControl w:val="0"/>
              <w:spacing w:line="480" w:lineRule="exact"/>
              <w:ind w:firstLine="480" w:firstLineChars="200"/>
              <w:jc w:val="both"/>
              <w:rPr>
                <w:rFonts w:ascii="Times New Roman" w:hAnsi="Times New Roman" w:eastAsia="方正仿宋简体" w:cs="仿宋"/>
                <w:color w:val="000000" w:themeColor="text1"/>
                <w:sz w:val="28"/>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依托中心城区的区位优势，全面整合域内科技、金融等资源，着力构建全新的“产业+金融+科技+人才”生态体系，积极打造科技与金融相互促进、互为补充的新兴产业高地，同时以供应链金融为切入点，深化金融对产业发展支撑作用。着力构建融</w:t>
            </w:r>
            <w:r>
              <w:rPr>
                <w:rFonts w:hint="eastAsia" w:ascii="Times New Roman" w:hAnsi="Times New Roman" w:eastAsia="方正仿宋简体" w:cs="仿宋"/>
                <w:b/>
                <w:color w:val="000000" w:themeColor="text1"/>
                <w:szCs w:val="32"/>
                <w14:textFill>
                  <w14:solidFill>
                    <w14:schemeClr w14:val="tx1"/>
                  </w14:solidFill>
                </w14:textFill>
              </w:rPr>
              <w:t>“一中心、四平台、五功能”</w:t>
            </w:r>
            <w:r>
              <w:rPr>
                <w:rFonts w:hint="eastAsia" w:ascii="Times New Roman" w:hAnsi="Times New Roman" w:eastAsia="方正仿宋简体" w:cs="仿宋"/>
                <w:color w:val="000000" w:themeColor="text1"/>
                <w:szCs w:val="32"/>
                <w14:textFill>
                  <w14:solidFill>
                    <w14:schemeClr w14:val="tx1"/>
                  </w14:solidFill>
                </w14:textFill>
              </w:rPr>
              <w:t>为一体的科技金融产业园区，即打造科技和金融机构集聚中心，建设“科技孵化、风险投资、人才引进、数字金融”四大平台，着力发挥资源配置、资本并购、金融招商、科技成果转化和上市服务五大功能，充分发挥科技和金融资源在供应链中的集聚优势，不断提升金融服务科技化、专业化、产业化水平，有效支撑实体经济发展。</w:t>
            </w:r>
          </w:p>
        </w:tc>
      </w:tr>
    </w:tbl>
    <w:p w14:paraId="06CA40D6">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——电子商务：</w:t>
      </w:r>
      <w:r>
        <w:rPr>
          <w:rFonts w:hint="eastAsia" w:ascii="Times New Roman" w:hAnsi="Times New Roman" w:eastAsia="方正仿宋简体" w:cs="仿宋"/>
          <w:color w:val="000000" w:themeColor="text1"/>
          <w:sz w:val="32"/>
          <w:szCs w:val="32"/>
          <w14:textFill>
            <w14:solidFill>
              <w14:schemeClr w14:val="tx1"/>
            </w14:solidFill>
          </w14:textFill>
        </w:rPr>
        <w:t>积极融入“中国（泉州）跨境电商综合试验区”建设，引进一批第三方电子商务平台、电子商务应用示范企业，推动实现产业与电商深度融合，依托纺织鞋服等重点行业的产业优势，搭建特色产业垂直性电子商务平台。改造提升万祥商城、幸福电商城等传统商城服务配套，支持网商虚拟产业园、捷云科创园等载体建设，积极策划江南新区电商城项目，增强电商服务集聚发展水平。促进“网店一体”“线上线下”融合发展，抢抓直播带货发展机遇，完善创客直播基地建设，大力发展网络零售经济，探索开拓销售新渠道，深化电商服务发展模式创新。鼓励企业开展跨境电子商务出口业务，推动跨境电商企业规模化发展，培育一批具有区域竞争力的跨境电子商务企业。支持跨境电商零售出口企业与境外企业合作，通过“海外仓”“体验库”等模式融入境外零售体系。</w:t>
      </w:r>
    </w:p>
    <w:p w14:paraId="5101C561">
      <w:pPr>
        <w:pStyle w:val="22"/>
        <w:widowControl w:val="0"/>
        <w:spacing w:before="0" w:beforeAutospacing="0" w:after="0" w:afterAutospacing="0"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——数字文创：</w:t>
      </w:r>
      <w:r>
        <w:rPr>
          <w:rFonts w:hint="eastAsia" w:ascii="Times New Roman" w:hAnsi="Times New Roman" w:eastAsia="方正仿宋简体" w:cs="仿宋"/>
          <w:color w:val="000000" w:themeColor="text1"/>
          <w:sz w:val="32"/>
          <w:szCs w:val="32"/>
          <w14:textFill>
            <w14:solidFill>
              <w14:schemeClr w14:val="tx1"/>
            </w14:solidFill>
          </w14:textFill>
        </w:rPr>
        <w:t>把打造“鲤城区数字文创动漫基地”作为战略抓手，壮大鲤城区数字文创动漫基地产业投资基金规模，围绕产业链推进项目链，招引一批在全国乃至国际上有影响力的头部企业，加快推动成链成群、成形成势，带动形成数字文创产业生态链，打造“</w:t>
      </w:r>
      <w:r>
        <w:rPr>
          <w:rFonts w:ascii="Times New Roman" w:hAnsi="Times New Roman" w:eastAsia="方正仿宋简体" w:cs="仿宋"/>
          <w:color w:val="000000" w:themeColor="text1"/>
          <w:sz w:val="32"/>
          <w:szCs w:val="32"/>
          <w14:textFill>
            <w14:solidFill>
              <w14:schemeClr w14:val="tx1"/>
            </w14:solidFill>
          </w14:textFill>
        </w:rPr>
        <w:t>中国·漫都</w:t>
      </w:r>
      <w:r>
        <w:rPr>
          <w:rFonts w:hint="eastAsia" w:ascii="Times New Roman" w:hAnsi="Times New Roman" w:eastAsia="方正仿宋简体" w:cs="仿宋"/>
          <w:color w:val="000000" w:themeColor="text1"/>
          <w:sz w:val="32"/>
          <w:szCs w:val="32"/>
          <w14:textFill>
            <w14:solidFill>
              <w14:schemeClr w14:val="tx1"/>
            </w14:solidFill>
          </w14:textFill>
        </w:rPr>
        <w:t>”。站位古城全域，把整个古城作为数字文创园区，分期分批打造园中园，重点发展信息技术、影视短视频、数字动漫、工业设计、建筑设计等文创产业，系统推进古城数字文创新业态全面发展，聚集</w:t>
      </w:r>
      <w:r>
        <w:rPr>
          <w:rFonts w:ascii="Times New Roman" w:hAnsi="Times New Roman" w:eastAsia="方正仿宋简体" w:cs="仿宋"/>
          <w:color w:val="000000" w:themeColor="text1"/>
          <w:sz w:val="32"/>
          <w:szCs w:val="32"/>
          <w14:textFill>
            <w14:solidFill>
              <w14:schemeClr w14:val="tx1"/>
            </w14:solidFill>
          </w14:textFill>
        </w:rPr>
        <w:t>文创企业总部，优化资源配置，打造总部经济集聚效应，推动</w:t>
      </w:r>
      <w:r>
        <w:rPr>
          <w:rFonts w:hint="eastAsia" w:ascii="Times New Roman" w:hAnsi="Times New Roman" w:eastAsia="方正仿宋简体" w:cs="仿宋"/>
          <w:color w:val="000000" w:themeColor="text1"/>
          <w:sz w:val="32"/>
          <w:szCs w:val="32"/>
          <w14:textFill>
            <w14:solidFill>
              <w14:schemeClr w14:val="tx1"/>
            </w14:solidFill>
          </w14:textFill>
        </w:rPr>
        <w:t>鲤城</w:t>
      </w:r>
      <w:r>
        <w:rPr>
          <w:rFonts w:ascii="Times New Roman" w:hAnsi="Times New Roman" w:eastAsia="方正仿宋简体" w:cs="仿宋"/>
          <w:color w:val="000000" w:themeColor="text1"/>
          <w:sz w:val="32"/>
          <w:szCs w:val="32"/>
          <w14:textFill>
            <w14:solidFill>
              <w14:schemeClr w14:val="tx1"/>
            </w14:solidFill>
          </w14:textFill>
        </w:rPr>
        <w:t>文创产业创新性发展、创造性转型</w:t>
      </w:r>
      <w:r>
        <w:rPr>
          <w:rFonts w:hint="eastAsia" w:ascii="Times New Roman" w:hAnsi="Times New Roman" w:eastAsia="方正仿宋简体" w:cs="仿宋"/>
          <w:color w:val="000000" w:themeColor="text1"/>
          <w:sz w:val="32"/>
          <w:szCs w:val="32"/>
          <w14:textFill>
            <w14:solidFill>
              <w14:schemeClr w14:val="tx1"/>
            </w14:solidFill>
          </w14:textFill>
        </w:rPr>
        <w:t>，形成以源和1916创意产业园、新门片区“三创园”、东亚之窗文创园为龙头，六井孔音乐文创园、T淘园文化创意园等各类特色文创园区为支点的发展格局。加快发展文创蓝海产业，鼓励数字动漫、数字游戏、影视传媒发展，培育数字动漫完整产业链条，积极打造数字文创动漫产业集群。</w:t>
      </w:r>
    </w:p>
    <w:p w14:paraId="7F6403EA">
      <w:pPr>
        <w:widowControl w:val="0"/>
        <w:spacing w:line="590" w:lineRule="exact"/>
        <w:ind w:firstLine="643" w:firstLineChars="200"/>
        <w:jc w:val="both"/>
        <w:rPr>
          <w:rFonts w:ascii="Times New Roman" w:hAnsi="Times New Roman" w:eastAsia="方正楷体简体" w:cs="仿宋"/>
          <w:b/>
          <w:color w:val="000000" w:themeColor="text1"/>
          <w:sz w:val="32"/>
          <w:szCs w:val="32"/>
          <w14:textFill>
            <w14:solidFill>
              <w14:schemeClr w14:val="tx1"/>
            </w14:solidFill>
          </w14:textFill>
        </w:rPr>
      </w:pPr>
      <w:r>
        <w:rPr>
          <w:rFonts w:hint="eastAsia" w:ascii="Times New Roman" w:hAnsi="Times New Roman" w:eastAsia="方正楷体简体" w:cs="仿宋"/>
          <w:b/>
          <w:color w:val="000000" w:themeColor="text1"/>
          <w:sz w:val="32"/>
          <w:szCs w:val="32"/>
          <w14:textFill>
            <w14:solidFill>
              <w14:schemeClr w14:val="tx1"/>
            </w14:solidFill>
          </w14:textFill>
        </w:rPr>
        <w:t>（二）生活性服务业</w:t>
      </w:r>
    </w:p>
    <w:p w14:paraId="238C3CDA">
      <w:pPr>
        <w:widowControl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以城市居民日益增长的服务需求为导向，以扩大居民消费为抓手，着力强化以商贸服务、文化旅游、家庭服务等为核心的综合服务功能，构建与经济社会发展阶段相匹配、与城市化进程相协调、与居民需求相适应的生活性服务业体系。</w:t>
      </w:r>
    </w:p>
    <w:p w14:paraId="2F280BFF">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——商贸服务：</w:t>
      </w:r>
      <w:r>
        <w:rPr>
          <w:rFonts w:hint="eastAsia" w:ascii="Times New Roman" w:hAnsi="Times New Roman" w:eastAsia="方正仿宋简体" w:cs="仿宋"/>
          <w:color w:val="000000" w:themeColor="text1"/>
          <w:sz w:val="32"/>
          <w:szCs w:val="32"/>
          <w14:textFill>
            <w14:solidFill>
              <w14:schemeClr w14:val="tx1"/>
            </w14:solidFill>
          </w14:textFill>
        </w:rPr>
        <w:t>完善新老城区商圈网络布局与建设，推动中山路及周边商圈业态综合提升，以专业化运营模式，引入高端、轻奢、时尚为主的新业态，全面升级街区形态、文化神态、消费生态，打造古城人气商气的集聚区，中山路“刺桐</w:t>
      </w:r>
      <w:r>
        <w:rPr>
          <w:rFonts w:hint="eastAsia" w:ascii="Times New Roman" w:hAnsi="Times New Roman" w:eastAsia="方正仿宋简体" w:cs="仿宋"/>
          <w:color w:val="000000" w:themeColor="text1"/>
          <w:sz w:val="32"/>
          <w:szCs w:val="32"/>
          <w14:textFill>
            <w14:solidFill>
              <w14:schemeClr w14:val="tx1"/>
            </w14:solidFill>
          </w14:textFill>
        </w:rPr>
        <w:sym w:font="Wingdings" w:char="F09F"/>
      </w:r>
      <w:r>
        <w:rPr>
          <w:rFonts w:hint="eastAsia" w:ascii="Times New Roman" w:hAnsi="Times New Roman" w:eastAsia="方正仿宋简体" w:cs="仿宋"/>
          <w:color w:val="000000" w:themeColor="text1"/>
          <w:sz w:val="32"/>
          <w:szCs w:val="32"/>
          <w14:textFill>
            <w14:solidFill>
              <w14:schemeClr w14:val="tx1"/>
            </w14:solidFill>
          </w14:textFill>
        </w:rPr>
        <w:t>鲤”争创全国示范步行街，启动中山南路整体提升改造项目，重振古城商贸业。以大型城市综合体为支撑，在江南新区形成以滨江商务区、新天城市广场等为主体的新城区商圈网络。加快改造义全街机电街、伍堡街装饰材料街、幸福街鞋类批发街等现有传统专业市场，推进互联网、云计算、大数据等技术在专业市场管理与商贸流通过程中的应用，加快培育“智慧商店”“智慧流通”和“智慧商圈”。借助“互联网+”提升汽贸服务集聚水平，进一步打造南环路汽车贸易走廊，策划建设国际汽车产业城、国际汽配及工程机械交易城，整合提升海天、华创等汽车产业园，促进产业协同，推动跨平台的数据生态交互，全力推动产业全链条聚合，构造完整的汽车贸易产业生态圈，打造辐射全省乃至华东区域的汽车交易服务综合市场。</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6"/>
      </w:tblGrid>
      <w:tr w14:paraId="7DA7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6" w:type="dxa"/>
            <w:shd w:val="clear" w:color="auto" w:fill="auto"/>
          </w:tcPr>
          <w:p w14:paraId="45B99A8A">
            <w:pPr>
              <w:widowControl w:val="0"/>
              <w:snapToGrid w:val="0"/>
              <w:spacing w:line="400" w:lineRule="exact"/>
              <w:jc w:val="center"/>
              <w:rPr>
                <w:rFonts w:ascii="Times New Roman" w:hAnsi="Times New Roman" w:eastAsia="方正仿宋简体" w:cs="仿宋"/>
                <w:b/>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0"/>
                <w14:textFill>
                  <w14:solidFill>
                    <w14:schemeClr w14:val="tx1"/>
                  </w14:solidFill>
                </w14:textFill>
              </w:rPr>
              <w:t>专栏10 商贸流通平台提升方案</w:t>
            </w:r>
          </w:p>
        </w:tc>
      </w:tr>
      <w:tr w14:paraId="5048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6" w:type="dxa"/>
            <w:shd w:val="clear" w:color="auto" w:fill="auto"/>
          </w:tcPr>
          <w:p w14:paraId="614A0AEA">
            <w:pPr>
              <w:widowControl w:val="0"/>
              <w:spacing w:line="400" w:lineRule="exact"/>
              <w:ind w:firstLine="480"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14:textFill>
                  <w14:solidFill>
                    <w14:schemeClr w14:val="tx1"/>
                  </w14:solidFill>
                </w14:textFill>
              </w:rPr>
              <w:t>推动商贸市场向“五化”方向转型升级。</w:t>
            </w:r>
            <w:r>
              <w:rPr>
                <w:rFonts w:hint="eastAsia" w:ascii="Times New Roman" w:hAnsi="Times New Roman" w:eastAsia="方正仿宋简体" w:cs="仿宋"/>
                <w:b/>
                <w:color w:val="000000" w:themeColor="text1"/>
                <w:szCs w:val="32"/>
                <w14:textFill>
                  <w14:solidFill>
                    <w14:schemeClr w14:val="tx1"/>
                  </w14:solidFill>
                </w14:textFill>
              </w:rPr>
              <w:t>电商化发展</w:t>
            </w:r>
            <w:r>
              <w:rPr>
                <w:rFonts w:hint="eastAsia" w:ascii="Times New Roman" w:hAnsi="Times New Roman" w:eastAsia="方正仿宋简体" w:cs="仿宋"/>
                <w:color w:val="000000" w:themeColor="text1"/>
                <w14:textFill>
                  <w14:solidFill>
                    <w14:schemeClr w14:val="tx1"/>
                  </w14:solidFill>
                </w14:textFill>
              </w:rPr>
              <w:t>，</w:t>
            </w:r>
            <w:r>
              <w:rPr>
                <w:rFonts w:hint="eastAsia" w:ascii="Times New Roman" w:hAnsi="Times New Roman" w:eastAsia="方正仿宋简体" w:cs="仿宋"/>
                <w:color w:val="000000" w:themeColor="text1"/>
                <w:szCs w:val="32"/>
                <w14:textFill>
                  <w14:solidFill>
                    <w14:schemeClr w14:val="tx1"/>
                  </w14:solidFill>
                </w14:textFill>
              </w:rPr>
              <w:t>通过引入互联网渠道，促使实体市场向“互联网＋”产业平台转变，拓展供应及销售渠道</w:t>
            </w:r>
            <w:r>
              <w:rPr>
                <w:rFonts w:hint="eastAsia" w:ascii="Times New Roman" w:hAnsi="Times New Roman" w:eastAsia="方正仿宋简体" w:cs="仿宋"/>
                <w:color w:val="000000" w:themeColor="text1"/>
                <w14:textFill>
                  <w14:solidFill>
                    <w14:schemeClr w14:val="tx1"/>
                  </w14:solidFill>
                </w14:textFill>
              </w:rPr>
              <w:t>；</w:t>
            </w:r>
            <w:r>
              <w:rPr>
                <w:rFonts w:hint="eastAsia" w:ascii="Times New Roman" w:hAnsi="Times New Roman" w:eastAsia="方正仿宋简体" w:cs="仿宋"/>
                <w:b/>
                <w:color w:val="000000" w:themeColor="text1"/>
                <w14:textFill>
                  <w14:solidFill>
                    <w14:schemeClr w14:val="tx1"/>
                  </w14:solidFill>
                </w14:textFill>
              </w:rPr>
              <w:t>服务</w:t>
            </w:r>
            <w:r>
              <w:rPr>
                <w:rFonts w:hint="eastAsia" w:ascii="Times New Roman" w:hAnsi="Times New Roman" w:eastAsia="方正仿宋简体" w:cs="仿宋"/>
                <w:b/>
                <w:color w:val="000000" w:themeColor="text1"/>
                <w:szCs w:val="32"/>
                <w14:textFill>
                  <w14:solidFill>
                    <w14:schemeClr w14:val="tx1"/>
                  </w14:solidFill>
                </w14:textFill>
              </w:rPr>
              <w:t>化发展</w:t>
            </w:r>
            <w:r>
              <w:rPr>
                <w:rFonts w:hint="eastAsia" w:ascii="Times New Roman" w:hAnsi="Times New Roman" w:eastAsia="方正仿宋简体" w:cs="仿宋"/>
                <w:color w:val="000000" w:themeColor="text1"/>
                <w:szCs w:val="32"/>
                <w14:textFill>
                  <w14:solidFill>
                    <w14:schemeClr w14:val="tx1"/>
                  </w14:solidFill>
                </w14:textFill>
              </w:rPr>
              <w:t>，打造出集研发、设计、创意等产业为一体的服务平台，搭建品牌孵化器，促进专业市场服务理念转变；</w:t>
            </w:r>
            <w:r>
              <w:rPr>
                <w:rFonts w:hint="eastAsia" w:ascii="Times New Roman" w:hAnsi="Times New Roman" w:eastAsia="方正仿宋简体" w:cs="仿宋"/>
                <w:b/>
                <w:color w:val="000000" w:themeColor="text1"/>
                <w:szCs w:val="32"/>
                <w14:textFill>
                  <w14:solidFill>
                    <w14:schemeClr w14:val="tx1"/>
                  </w14:solidFill>
                </w14:textFill>
              </w:rPr>
              <w:t>国际化发展</w:t>
            </w:r>
            <w:r>
              <w:rPr>
                <w:rFonts w:hint="eastAsia" w:ascii="Times New Roman" w:hAnsi="Times New Roman" w:eastAsia="方正仿宋简体" w:cs="仿宋"/>
                <w:color w:val="000000" w:themeColor="text1"/>
                <w14:textFill>
                  <w14:solidFill>
                    <w14:schemeClr w14:val="tx1"/>
                  </w14:solidFill>
                </w14:textFill>
              </w:rPr>
              <w:t>，</w:t>
            </w:r>
            <w:r>
              <w:rPr>
                <w:rFonts w:hint="eastAsia" w:ascii="Times New Roman" w:hAnsi="Times New Roman" w:eastAsia="方正仿宋简体" w:cs="仿宋"/>
                <w:color w:val="000000" w:themeColor="text1"/>
                <w:szCs w:val="32"/>
                <w14:textFill>
                  <w14:solidFill>
                    <w14:schemeClr w14:val="tx1"/>
                  </w14:solidFill>
                </w14:textFill>
              </w:rPr>
              <w:t>积极接轨国际市场，以国际化视野和行动引领行业发展，促进产业业态融合创新；</w:t>
            </w:r>
            <w:r>
              <w:rPr>
                <w:rFonts w:hint="eastAsia" w:ascii="Times New Roman" w:hAnsi="Times New Roman" w:eastAsia="方正仿宋简体" w:cs="仿宋"/>
                <w:b/>
                <w:color w:val="000000" w:themeColor="text1"/>
                <w:szCs w:val="32"/>
                <w14:textFill>
                  <w14:solidFill>
                    <w14:schemeClr w14:val="tx1"/>
                  </w14:solidFill>
                </w14:textFill>
              </w:rPr>
              <w:t>体验化发展</w:t>
            </w:r>
            <w:r>
              <w:rPr>
                <w:rFonts w:hint="eastAsia" w:ascii="Times New Roman" w:hAnsi="Times New Roman" w:eastAsia="方正仿宋简体" w:cs="仿宋"/>
                <w:color w:val="000000" w:themeColor="text1"/>
                <w:szCs w:val="32"/>
                <w14:textFill>
                  <w14:solidFill>
                    <w14:schemeClr w14:val="tx1"/>
                  </w14:solidFill>
                </w14:textFill>
              </w:rPr>
              <w:t>，通过融入餐饮、休闲、娱乐、购物在内的各种元素，使专业市场由过去单一的交易功能迅速升级为综合体市场；</w:t>
            </w:r>
            <w:r>
              <w:rPr>
                <w:rFonts w:hint="eastAsia" w:ascii="Times New Roman" w:hAnsi="Times New Roman" w:eastAsia="方正仿宋简体" w:cs="仿宋"/>
                <w:b/>
                <w:color w:val="000000" w:themeColor="text1"/>
                <w:szCs w:val="32"/>
                <w14:textFill>
                  <w14:solidFill>
                    <w14:schemeClr w14:val="tx1"/>
                  </w14:solidFill>
                </w14:textFill>
              </w:rPr>
              <w:t>平台化发展</w:t>
            </w:r>
            <w:r>
              <w:rPr>
                <w:rFonts w:hint="eastAsia" w:ascii="Times New Roman" w:hAnsi="Times New Roman" w:eastAsia="方正仿宋简体" w:cs="仿宋"/>
                <w:color w:val="000000" w:themeColor="text1"/>
                <w:szCs w:val="32"/>
                <w14:textFill>
                  <w14:solidFill>
                    <w14:schemeClr w14:val="tx1"/>
                  </w14:solidFill>
                </w14:textFill>
              </w:rPr>
              <w:t>，通过多元化产业带动关联产业发展，有效推动形成行业集群。同时加快推动商贸流通数据纳统工程建设，建立健全政府数据统计与监管体系。</w:t>
            </w:r>
          </w:p>
          <w:p w14:paraId="77863A6E">
            <w:pPr>
              <w:widowControl w:val="0"/>
              <w:spacing w:line="400" w:lineRule="exact"/>
              <w:ind w:firstLine="482" w:firstLineChars="200"/>
              <w:jc w:val="both"/>
              <w:rPr>
                <w:rFonts w:ascii="Times New Roman" w:hAnsi="Times New Roman" w:eastAsia="方正仿宋简体" w:cs="仿宋"/>
                <w:color w:val="000000" w:themeColor="text1"/>
                <w:w w:val="98"/>
                <w:szCs w:val="28"/>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专业市场：</w:t>
            </w:r>
            <w:r>
              <w:rPr>
                <w:rFonts w:hint="eastAsia" w:ascii="Times New Roman" w:hAnsi="Times New Roman" w:eastAsia="方正仿宋简体" w:cs="仿宋"/>
                <w:color w:val="000000" w:themeColor="text1"/>
                <w14:textFill>
                  <w14:solidFill>
                    <w14:schemeClr w14:val="tx1"/>
                  </w14:solidFill>
                </w14:textFill>
              </w:rPr>
              <w:t>南环路汽车贸易走</w:t>
            </w:r>
            <w:r>
              <w:rPr>
                <w:rFonts w:hint="eastAsia" w:ascii="Times New Roman" w:hAnsi="Times New Roman" w:eastAsia="方正仿宋简体" w:cs="仿宋"/>
                <w:color w:val="000000" w:themeColor="text1"/>
                <w:szCs w:val="32"/>
                <w14:textFill>
                  <w14:solidFill>
                    <w14:schemeClr w14:val="tx1"/>
                  </w14:solidFill>
                </w14:textFill>
              </w:rPr>
              <w:t>廊、国际汽车产业城、国际汽配及工程机械交易城义全街机电街、伍堡街装饰材料街、幸福街鞋类批发街、万祥商城、泉州工矿汽配城、益华电脑城、</w:t>
            </w:r>
            <w:r>
              <w:rPr>
                <w:rFonts w:hint="eastAsia" w:ascii="Times New Roman" w:hAnsi="Times New Roman" w:eastAsia="方正仿宋简体" w:cs="仿宋"/>
                <w:color w:val="000000" w:themeColor="text1"/>
                <w:w w:val="98"/>
                <w:szCs w:val="28"/>
                <w14:textFill>
                  <w14:solidFill>
                    <w14:schemeClr w14:val="tx1"/>
                  </w14:solidFill>
                </w14:textFill>
              </w:rPr>
              <w:t>鲤城区江南酒店用品市场、泉州市水果批发市场等。</w:t>
            </w:r>
          </w:p>
        </w:tc>
      </w:tr>
    </w:tbl>
    <w:p w14:paraId="241DF0A4">
      <w:pPr>
        <w:widowControl w:val="0"/>
        <w:spacing w:line="590" w:lineRule="exact"/>
        <w:ind w:firstLine="643" w:firstLineChars="200"/>
        <w:jc w:val="both"/>
        <w:rPr>
          <w:rFonts w:ascii="Times New Roman" w:hAnsi="Times New Roman" w:eastAsia="方正仿宋简体" w:cs="仿宋"/>
          <w:color w:val="000000" w:themeColor="text1"/>
          <w:spacing w:val="-2"/>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——文化旅游</w:t>
      </w:r>
      <w:r>
        <w:rPr>
          <w:rFonts w:hint="eastAsia" w:ascii="Times New Roman" w:hAnsi="Times New Roman" w:eastAsia="方正仿宋简体" w:cs="仿宋"/>
          <w:color w:val="000000" w:themeColor="text1"/>
          <w:sz w:val="32"/>
          <w:szCs w:val="32"/>
          <w14:textFill>
            <w14:solidFill>
              <w14:schemeClr w14:val="tx1"/>
            </w14:solidFill>
          </w14:textFill>
        </w:rPr>
        <w:t>：树立旅游整体统筹发展理念，以打造独具魅力的“国际海丝文化旅游度假胜地”作为发展定位，主动融入泉州旅游发展整体布局，强化旅游区域协同发展。围绕古城文化生态旅游、滨江文体休闲旅游、紫帽山生态康养休闲游等特色旅游板块，构建</w:t>
      </w:r>
      <w:r>
        <w:rPr>
          <w:rFonts w:hint="eastAsia" w:ascii="Times New Roman" w:hAnsi="Times New Roman" w:eastAsia="方正仿宋简体" w:cs="仿宋_GB2312"/>
          <w:color w:val="000000" w:themeColor="text1"/>
          <w:sz w:val="32"/>
          <w:szCs w:val="32"/>
          <w14:textFill>
            <w14:solidFill>
              <w14:schemeClr w14:val="tx1"/>
            </w14:solidFill>
          </w14:textFill>
        </w:rPr>
        <w:t>“一城一带一园”</w:t>
      </w:r>
      <w:r>
        <w:rPr>
          <w:rStyle w:val="34"/>
          <w:rFonts w:hint="eastAsia" w:ascii="Times New Roman" w:hAnsi="Times New Roman" w:eastAsia="方正仿宋简体"/>
          <w:color w:val="000000" w:themeColor="text1"/>
          <w14:textFill>
            <w14:solidFill>
              <w14:schemeClr w14:val="tx1"/>
            </w14:solidFill>
          </w14:textFill>
        </w:rPr>
        <w:footnoteReference w:id="5"/>
      </w:r>
      <w:r>
        <w:rPr>
          <w:rFonts w:hint="eastAsia" w:ascii="Times New Roman" w:hAnsi="Times New Roman" w:eastAsia="方正仿宋简体" w:cs="仿宋_GB2312"/>
          <w:color w:val="000000" w:themeColor="text1"/>
          <w:sz w:val="32"/>
          <w:szCs w:val="32"/>
          <w14:textFill>
            <w14:solidFill>
              <w14:schemeClr w14:val="tx1"/>
            </w14:solidFill>
          </w14:textFill>
        </w:rPr>
        <w:t>的</w:t>
      </w:r>
      <w:r>
        <w:rPr>
          <w:rFonts w:hint="eastAsia" w:ascii="Times New Roman" w:hAnsi="Times New Roman" w:eastAsia="方正仿宋简体" w:cs="仿宋"/>
          <w:color w:val="000000" w:themeColor="text1"/>
          <w:sz w:val="32"/>
          <w:szCs w:val="32"/>
          <w14:textFill>
            <w14:solidFill>
              <w14:schemeClr w14:val="tx1"/>
            </w14:solidFill>
          </w14:textFill>
        </w:rPr>
        <w:t>全域特色旅游板块主体化发展格局。拓宽“文”“商”“养”等“旅游+”发展新要素，积极培育自驾游、生态康养旅游、研学旅游等新业态，推</w:t>
      </w:r>
      <w:r>
        <w:rPr>
          <w:rFonts w:hint="eastAsia" w:ascii="Times New Roman" w:hAnsi="Times New Roman" w:eastAsia="方正仿宋简体" w:cs="仿宋"/>
          <w:color w:val="000000" w:themeColor="text1"/>
          <w:spacing w:val="-2"/>
          <w:sz w:val="32"/>
          <w:szCs w:val="32"/>
          <w14:textFill>
            <w14:solidFill>
              <w14:schemeClr w14:val="tx1"/>
            </w14:solidFill>
          </w14:textFill>
        </w:rPr>
        <w:t>动旅游与文化、教育、制造业等行业深度融合发展。深度挖掘历史文化底蕴，将文化融入景区景点、度假设施、活动场景、服务环节中，引导研发设计富有文化特色的旅游工艺品（纪念品）、宣传品，注重打造文化IP，创新设计旅游产品。支持有条件的工业园区、老旧厂房等开发集生产展示、观光体验、教育科普等于一体的工业旅游产品，厚植工业文化，弘扬工匠精神。</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7"/>
      </w:tblGrid>
      <w:tr w14:paraId="6F0F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7" w:type="dxa"/>
            <w:shd w:val="clear" w:color="auto" w:fill="auto"/>
          </w:tcPr>
          <w:p w14:paraId="4E91A582">
            <w:pPr>
              <w:widowControl w:val="0"/>
              <w:snapToGrid w:val="0"/>
              <w:spacing w:line="400" w:lineRule="exact"/>
              <w:jc w:val="center"/>
              <w:rPr>
                <w:rFonts w:ascii="Times New Roman" w:hAnsi="Times New Roman" w:eastAsia="方正仿宋简体" w:cs="仿宋"/>
                <w:b/>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0"/>
                <w14:textFill>
                  <w14:solidFill>
                    <w14:schemeClr w14:val="tx1"/>
                  </w14:solidFill>
                </w14:textFill>
              </w:rPr>
              <w:t>专栏11 文旅产业提升工程</w:t>
            </w:r>
          </w:p>
        </w:tc>
      </w:tr>
      <w:tr w14:paraId="6DC9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7" w:type="dxa"/>
            <w:shd w:val="clear" w:color="auto" w:fill="auto"/>
          </w:tcPr>
          <w:p w14:paraId="093B1EAC">
            <w:pPr>
              <w:widowControl w:val="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打造大泉州旅游集散平台。</w:t>
            </w:r>
            <w:r>
              <w:rPr>
                <w:rFonts w:hint="eastAsia" w:ascii="Times New Roman" w:hAnsi="Times New Roman" w:eastAsia="方正仿宋简体" w:cs="仿宋"/>
                <w:color w:val="000000" w:themeColor="text1"/>
                <w:szCs w:val="32"/>
                <w14:textFill>
                  <w14:solidFill>
                    <w14:schemeClr w14:val="tx1"/>
                  </w14:solidFill>
                </w14:textFill>
              </w:rPr>
              <w:t>完善旅游集散服务网络和相关配套设施，扩展重要节点的旅游服务功能。对标创建国家级生态旅游度假区，古城区进一步发展特色主题精品住宿，江南新区力争引进高端商务酒店。深化吃、住、行、购、游、娱业态发展，将鲤城打造成具有古城特色的大泉州旅游集散平台。</w:t>
            </w:r>
          </w:p>
          <w:p w14:paraId="2C4D61F5">
            <w:pPr>
              <w:widowControl w:val="0"/>
              <w:ind w:firstLine="562" w:firstLineChars="200"/>
              <w:jc w:val="both"/>
              <w:rPr>
                <w:rFonts w:ascii="Times New Roman" w:hAnsi="Times New Roman" w:eastAsia="方正仿宋简体" w:cs="仿宋"/>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开发智慧旅游云平台。</w:t>
            </w:r>
            <w:r>
              <w:rPr>
                <w:rFonts w:hint="eastAsia" w:ascii="Times New Roman" w:hAnsi="Times New Roman" w:eastAsia="方正仿宋简体" w:cs="仿宋"/>
                <w:color w:val="000000" w:themeColor="text1"/>
                <w:szCs w:val="32"/>
                <w14:textFill>
                  <w14:solidFill>
                    <w14:schemeClr w14:val="tx1"/>
                  </w14:solidFill>
                </w14:textFill>
              </w:rPr>
              <w:t>全面提升旅游数字化、智能化服务。推进智慧旅游建设，开发集景点游览、食宿推介等功能为一体的智慧旅游云平台，为游客提供数字化、全方位、高质量的旅游服务。</w:t>
            </w:r>
          </w:p>
        </w:tc>
      </w:tr>
    </w:tbl>
    <w:p w14:paraId="053B5DCC">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——家庭服务：</w:t>
      </w:r>
      <w:r>
        <w:rPr>
          <w:rFonts w:hint="eastAsia" w:ascii="Times New Roman" w:hAnsi="Times New Roman" w:eastAsia="方正仿宋简体" w:cs="仿宋"/>
          <w:color w:val="000000" w:themeColor="text1"/>
          <w:sz w:val="32"/>
          <w:szCs w:val="32"/>
          <w14:textFill>
            <w14:solidFill>
              <w14:schemeClr w14:val="tx1"/>
            </w14:solidFill>
          </w14:textFill>
        </w:rPr>
        <w:t>繁荣家庭服务市场，立足社会家庭服务多样化需求，大力发展家政服务、病患陪护、家庭用品配送、社区养老、居家养老等综合性基础家庭服务，积极培育家庭理财、家庭营养、高级管家等高端家庭服务。实施“互联网+家庭服务”计划，打造“鲤城家庭服务云平台”，构建供需对接、信息咨询、服务监督评价一体化的便民服务机制，为家庭、社区与专业机构提供全方位服务。推进社区公共服务设施与社区养老服务设施的功能衔接，建立健全区、街道、社区不同层次的居家养老服务信息网络和服务平台，为居家老年人提供定点、定制等个性化、人性化服务。</w:t>
      </w:r>
    </w:p>
    <w:p w14:paraId="451EEE2A">
      <w:pPr>
        <w:pStyle w:val="22"/>
        <w:widowControl w:val="0"/>
        <w:spacing w:before="0" w:beforeAutospacing="0" w:after="0" w:afterAutospacing="0" w:line="580" w:lineRule="exact"/>
        <w:ind w:firstLine="562" w:firstLineChars="200"/>
        <w:jc w:val="center"/>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t>专栏12 现代服务业发展路径图</w:t>
      </w:r>
    </w:p>
    <w:tbl>
      <w:tblPr>
        <w:tblStyle w:val="26"/>
        <w:tblW w:w="56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396"/>
        <w:gridCol w:w="2332"/>
        <w:gridCol w:w="2941"/>
        <w:gridCol w:w="2938"/>
      </w:tblGrid>
      <w:tr w14:paraId="0BAD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jc w:val="center"/>
        </w:trPr>
        <w:tc>
          <w:tcPr>
            <w:tcW w:w="983" w:type="pct"/>
            <w:gridSpan w:val="2"/>
            <w:vAlign w:val="center"/>
          </w:tcPr>
          <w:p w14:paraId="729BEF7D">
            <w:pPr>
              <w:widowControl w:val="0"/>
              <w:spacing w:line="360" w:lineRule="exact"/>
              <w:jc w:val="center"/>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行业</w:t>
            </w:r>
          </w:p>
        </w:tc>
        <w:tc>
          <w:tcPr>
            <w:tcW w:w="1141" w:type="pct"/>
            <w:vAlign w:val="center"/>
          </w:tcPr>
          <w:p w14:paraId="089B144A">
            <w:pPr>
              <w:widowControl w:val="0"/>
              <w:spacing w:line="360" w:lineRule="exact"/>
              <w:jc w:val="center"/>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发展目标</w:t>
            </w:r>
          </w:p>
        </w:tc>
        <w:tc>
          <w:tcPr>
            <w:tcW w:w="1439" w:type="pct"/>
            <w:vAlign w:val="center"/>
          </w:tcPr>
          <w:p w14:paraId="16464C66">
            <w:pPr>
              <w:widowControl w:val="0"/>
              <w:spacing w:line="360" w:lineRule="exact"/>
              <w:jc w:val="center"/>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发展方向及重点</w:t>
            </w:r>
          </w:p>
        </w:tc>
        <w:tc>
          <w:tcPr>
            <w:tcW w:w="1437" w:type="pct"/>
            <w:vAlign w:val="center"/>
          </w:tcPr>
          <w:p w14:paraId="40FE4E87">
            <w:pPr>
              <w:widowControl w:val="0"/>
              <w:spacing w:line="360" w:lineRule="exact"/>
              <w:jc w:val="center"/>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载体支撑与重点项目</w:t>
            </w:r>
          </w:p>
        </w:tc>
      </w:tr>
      <w:tr w14:paraId="74FD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300" w:type="pct"/>
            <w:vAlign w:val="center"/>
          </w:tcPr>
          <w:p w14:paraId="510492A2">
            <w:pPr>
              <w:widowControl w:val="0"/>
              <w:spacing w:line="360" w:lineRule="exact"/>
              <w:jc w:val="both"/>
              <w:rPr>
                <w:rFonts w:ascii="Times New Roman" w:hAnsi="Times New Roman" w:eastAsia="方正仿宋简体" w:cs="仿宋"/>
                <w:b/>
                <w:color w:val="000000" w:themeColor="text1"/>
                <w:szCs w:val="32"/>
                <w14:textFill>
                  <w14:solidFill>
                    <w14:schemeClr w14:val="tx1"/>
                  </w14:solidFill>
                </w14:textFill>
              </w:rPr>
            </w:pPr>
            <w:bookmarkStart w:id="93" w:name="_Hlk48838501"/>
            <w:r>
              <w:rPr>
                <w:rFonts w:hint="eastAsia" w:ascii="Times New Roman" w:hAnsi="Times New Roman" w:eastAsia="方正仿宋简体" w:cs="仿宋"/>
                <w:b/>
                <w:color w:val="000000" w:themeColor="text1"/>
                <w:szCs w:val="32"/>
                <w14:textFill>
                  <w14:solidFill>
                    <w14:schemeClr w14:val="tx1"/>
                  </w14:solidFill>
                </w14:textFill>
              </w:rPr>
              <w:t>生产性服务业</w:t>
            </w:r>
          </w:p>
        </w:tc>
        <w:tc>
          <w:tcPr>
            <w:tcW w:w="683" w:type="pct"/>
            <w:vAlign w:val="center"/>
          </w:tcPr>
          <w:p w14:paraId="65E8E689">
            <w:pPr>
              <w:widowControl w:val="0"/>
              <w:spacing w:line="360" w:lineRule="exact"/>
              <w:jc w:val="both"/>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科技金融</w:t>
            </w:r>
          </w:p>
        </w:tc>
        <w:tc>
          <w:tcPr>
            <w:tcW w:w="1141" w:type="pct"/>
            <w:vAlign w:val="center"/>
          </w:tcPr>
          <w:p w14:paraId="4A058B0D">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建设区域性金融服务中心，力争2025年扶持5家域内企业挂牌转板上市。</w:t>
            </w:r>
          </w:p>
        </w:tc>
        <w:tc>
          <w:tcPr>
            <w:tcW w:w="1439" w:type="pct"/>
            <w:vAlign w:val="center"/>
          </w:tcPr>
          <w:p w14:paraId="6383A317">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Cambria Math"/>
                <w:color w:val="000000" w:themeColor="text1"/>
                <w:szCs w:val="32"/>
                <w14:textFill>
                  <w14:solidFill>
                    <w14:schemeClr w14:val="tx1"/>
                  </w14:solidFill>
                </w14:textFill>
              </w:rPr>
              <w:t>（1）</w:t>
            </w:r>
            <w:r>
              <w:rPr>
                <w:rFonts w:hint="eastAsia" w:ascii="Times New Roman" w:hAnsi="Times New Roman" w:eastAsia="方正仿宋简体" w:cs="仿宋"/>
                <w:color w:val="000000" w:themeColor="text1"/>
                <w:szCs w:val="32"/>
                <w14:textFill>
                  <w14:solidFill>
                    <w14:schemeClr w14:val="tx1"/>
                  </w14:solidFill>
                </w14:textFill>
              </w:rPr>
              <w:t>互联网金融</w:t>
            </w:r>
          </w:p>
          <w:p w14:paraId="47DE1DF4">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Cambria Math"/>
                <w:color w:val="000000" w:themeColor="text1"/>
                <w:szCs w:val="32"/>
                <w14:textFill>
                  <w14:solidFill>
                    <w14:schemeClr w14:val="tx1"/>
                  </w14:solidFill>
                </w14:textFill>
              </w:rPr>
              <w:t>（2）</w:t>
            </w:r>
            <w:r>
              <w:rPr>
                <w:rFonts w:hint="eastAsia" w:ascii="Times New Roman" w:hAnsi="Times New Roman" w:eastAsia="方正仿宋简体" w:cs="仿宋"/>
                <w:color w:val="000000" w:themeColor="text1"/>
                <w:szCs w:val="32"/>
                <w14:textFill>
                  <w14:solidFill>
                    <w14:schemeClr w14:val="tx1"/>
                  </w14:solidFill>
                </w14:textFill>
              </w:rPr>
              <w:t>普惠金融</w:t>
            </w:r>
          </w:p>
          <w:p w14:paraId="1FD559EA">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Cambria Math"/>
                <w:color w:val="000000" w:themeColor="text1"/>
                <w:szCs w:val="32"/>
                <w14:textFill>
                  <w14:solidFill>
                    <w14:schemeClr w14:val="tx1"/>
                  </w14:solidFill>
                </w14:textFill>
              </w:rPr>
              <w:t>（3）</w:t>
            </w:r>
            <w:r>
              <w:rPr>
                <w:rFonts w:hint="eastAsia" w:ascii="Times New Roman" w:hAnsi="Times New Roman" w:eastAsia="方正仿宋简体" w:cs="仿宋"/>
                <w:color w:val="000000" w:themeColor="text1"/>
                <w:szCs w:val="32"/>
                <w14:textFill>
                  <w14:solidFill>
                    <w14:schemeClr w14:val="tx1"/>
                  </w14:solidFill>
                </w14:textFill>
              </w:rPr>
              <w:t>产业金融</w:t>
            </w:r>
          </w:p>
          <w:p w14:paraId="22168B4D">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Cambria Math"/>
                <w:color w:val="000000" w:themeColor="text1"/>
                <w:szCs w:val="32"/>
                <w14:textFill>
                  <w14:solidFill>
                    <w14:schemeClr w14:val="tx1"/>
                  </w14:solidFill>
                </w14:textFill>
              </w:rPr>
              <w:t>（4）</w:t>
            </w:r>
            <w:r>
              <w:rPr>
                <w:rFonts w:hint="eastAsia" w:ascii="Times New Roman" w:hAnsi="Times New Roman" w:eastAsia="方正仿宋简体" w:cs="仿宋"/>
                <w:color w:val="000000" w:themeColor="text1"/>
                <w:szCs w:val="32"/>
                <w14:textFill>
                  <w14:solidFill>
                    <w14:schemeClr w14:val="tx1"/>
                  </w14:solidFill>
                </w14:textFill>
              </w:rPr>
              <w:t>绿色金融</w:t>
            </w:r>
          </w:p>
        </w:tc>
        <w:tc>
          <w:tcPr>
            <w:tcW w:w="1437" w:type="pct"/>
            <w:vAlign w:val="center"/>
          </w:tcPr>
          <w:p w14:paraId="48EC6E96">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载体项目：</w:t>
            </w:r>
            <w:r>
              <w:rPr>
                <w:rFonts w:hint="eastAsia" w:ascii="Times New Roman" w:hAnsi="Times New Roman" w:eastAsia="方正仿宋简体" w:cs="仿宋"/>
                <w:color w:val="000000" w:themeColor="text1"/>
                <w:szCs w:val="32"/>
                <w14:textFill>
                  <w14:solidFill>
                    <w14:schemeClr w14:val="tx1"/>
                  </w14:solidFill>
                </w14:textFill>
              </w:rPr>
              <w:t>海峡科技银行、鲤城高新园区科技金融服务中心、大华捷通支付、金融、供应链服务建设项目、泉州市金融信息服务平台等。</w:t>
            </w:r>
          </w:p>
        </w:tc>
      </w:tr>
      <w:tr w14:paraId="67A5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300" w:type="pct"/>
            <w:vMerge w:val="restart"/>
            <w:vAlign w:val="center"/>
          </w:tcPr>
          <w:p w14:paraId="191A713F">
            <w:pPr>
              <w:widowControl w:val="0"/>
              <w:spacing w:line="360" w:lineRule="exact"/>
              <w:jc w:val="both"/>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生产性服务业</w:t>
            </w:r>
          </w:p>
        </w:tc>
        <w:tc>
          <w:tcPr>
            <w:tcW w:w="683" w:type="pct"/>
            <w:vAlign w:val="center"/>
          </w:tcPr>
          <w:p w14:paraId="0891FF5D">
            <w:pPr>
              <w:widowControl w:val="0"/>
              <w:spacing w:line="360" w:lineRule="exact"/>
              <w:jc w:val="both"/>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电子商务</w:t>
            </w:r>
          </w:p>
        </w:tc>
        <w:tc>
          <w:tcPr>
            <w:tcW w:w="1141" w:type="pct"/>
            <w:vAlign w:val="center"/>
          </w:tcPr>
          <w:p w14:paraId="66502FCF">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力争</w:t>
            </w:r>
            <w:r>
              <w:rPr>
                <w:rFonts w:hint="eastAsia" w:ascii="Times New Roman" w:hAnsi="Times New Roman" w:eastAsia="方正仿宋简体" w:cs="仿宋"/>
                <w:color w:val="000000" w:themeColor="text1"/>
                <w:kern w:val="2"/>
                <w:szCs w:val="32"/>
                <w14:textFill>
                  <w14:solidFill>
                    <w14:schemeClr w14:val="tx1"/>
                  </w14:solidFill>
                </w14:textFill>
              </w:rPr>
              <w:t>至2025年，</w:t>
            </w:r>
            <w:r>
              <w:rPr>
                <w:rFonts w:hint="eastAsia" w:ascii="Times New Roman" w:hAnsi="Times New Roman" w:eastAsia="方正仿宋简体" w:cs="仿宋"/>
                <w:color w:val="000000" w:themeColor="text1"/>
                <w:szCs w:val="32"/>
                <w14:textFill>
                  <w14:solidFill>
                    <w14:schemeClr w14:val="tx1"/>
                  </w14:solidFill>
                </w14:textFill>
              </w:rPr>
              <w:t>电子商务交易额突破50亿元</w:t>
            </w:r>
            <w:r>
              <w:rPr>
                <w:rFonts w:hint="eastAsia" w:ascii="Times New Roman" w:hAnsi="Times New Roman" w:eastAsia="方正仿宋简体" w:cs="仿宋"/>
                <w:color w:val="000000" w:themeColor="text1"/>
                <w:kern w:val="2"/>
                <w:szCs w:val="32"/>
                <w14:textFill>
                  <w14:solidFill>
                    <w14:schemeClr w14:val="tx1"/>
                  </w14:solidFill>
                </w14:textFill>
              </w:rPr>
              <w:t>。</w:t>
            </w:r>
          </w:p>
        </w:tc>
        <w:tc>
          <w:tcPr>
            <w:tcW w:w="1439" w:type="pct"/>
            <w:vAlign w:val="center"/>
          </w:tcPr>
          <w:p w14:paraId="34F59963">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（1）跨境电商</w:t>
            </w:r>
          </w:p>
          <w:p w14:paraId="7133EEC5">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（2）垂直电商平台</w:t>
            </w:r>
          </w:p>
          <w:p w14:paraId="33669828">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（3）O2O商城</w:t>
            </w:r>
          </w:p>
          <w:p w14:paraId="5FF0FBEE">
            <w:pPr>
              <w:pStyle w:val="22"/>
              <w:widowControl w:val="0"/>
              <w:spacing w:before="0" w:beforeAutospacing="0" w:after="0" w:afterAutospacing="0" w:line="360" w:lineRule="exact"/>
              <w:jc w:val="both"/>
              <w:rPr>
                <w:rFonts w:ascii="Times New Roman" w:hAnsi="Times New Roman" w:eastAsia="方正仿宋简体" w:cs="仿宋"/>
                <w:color w:val="000000" w:themeColor="text1"/>
                <w:kern w:val="2"/>
                <w:szCs w:val="32"/>
                <w14:textFill>
                  <w14:solidFill>
                    <w14:schemeClr w14:val="tx1"/>
                  </w14:solidFill>
                </w14:textFill>
              </w:rPr>
            </w:pPr>
            <w:r>
              <w:rPr>
                <w:rFonts w:hint="eastAsia" w:ascii="Times New Roman" w:hAnsi="Times New Roman" w:eastAsia="方正仿宋简体" w:cs="仿宋"/>
                <w:color w:val="000000" w:themeColor="text1"/>
                <w:kern w:val="2"/>
                <w:szCs w:val="32"/>
                <w14:textFill>
                  <w14:solidFill>
                    <w14:schemeClr w14:val="tx1"/>
                  </w14:solidFill>
                </w14:textFill>
              </w:rPr>
              <w:t>（4）直播带货</w:t>
            </w:r>
          </w:p>
        </w:tc>
        <w:tc>
          <w:tcPr>
            <w:tcW w:w="1437" w:type="pct"/>
            <w:vAlign w:val="center"/>
          </w:tcPr>
          <w:p w14:paraId="69F27516">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载体项目：</w:t>
            </w:r>
            <w:r>
              <w:rPr>
                <w:rFonts w:hint="eastAsia" w:ascii="Times New Roman" w:hAnsi="Times New Roman" w:eastAsia="方正仿宋简体" w:cs="仿宋"/>
                <w:color w:val="000000" w:themeColor="text1"/>
                <w:szCs w:val="32"/>
                <w14:textFill>
                  <w14:solidFill>
                    <w14:schemeClr w14:val="tx1"/>
                  </w14:solidFill>
                </w14:textFill>
              </w:rPr>
              <w:t>创鑫产业园、幸福电商城、网商虚拟产业园、电子商务总部基地、泉州市大学生电商创客空间等。</w:t>
            </w:r>
          </w:p>
        </w:tc>
      </w:tr>
      <w:tr w14:paraId="7282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300" w:type="pct"/>
            <w:vMerge w:val="continue"/>
            <w:vAlign w:val="center"/>
          </w:tcPr>
          <w:p w14:paraId="49D8CC45">
            <w:pPr>
              <w:widowControl w:val="0"/>
              <w:spacing w:line="360" w:lineRule="exact"/>
              <w:jc w:val="both"/>
              <w:rPr>
                <w:rFonts w:ascii="Times New Roman" w:hAnsi="Times New Roman" w:eastAsia="方正仿宋简体" w:cs="仿宋"/>
                <w:b/>
                <w:color w:val="000000" w:themeColor="text1"/>
                <w:szCs w:val="32"/>
                <w14:textFill>
                  <w14:solidFill>
                    <w14:schemeClr w14:val="tx1"/>
                  </w14:solidFill>
                </w14:textFill>
              </w:rPr>
            </w:pPr>
          </w:p>
        </w:tc>
        <w:tc>
          <w:tcPr>
            <w:tcW w:w="683" w:type="pct"/>
            <w:vAlign w:val="center"/>
          </w:tcPr>
          <w:p w14:paraId="753C2A43">
            <w:pPr>
              <w:widowControl w:val="0"/>
              <w:spacing w:line="360" w:lineRule="exact"/>
              <w:jc w:val="both"/>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数字文创</w:t>
            </w:r>
          </w:p>
        </w:tc>
        <w:tc>
          <w:tcPr>
            <w:tcW w:w="1141" w:type="pct"/>
            <w:vAlign w:val="center"/>
          </w:tcPr>
          <w:p w14:paraId="26DC96CB">
            <w:pPr>
              <w:pStyle w:val="22"/>
              <w:widowControl w:val="0"/>
              <w:spacing w:before="0" w:beforeAutospacing="0" w:after="0" w:afterAutospacing="0" w:line="360" w:lineRule="exact"/>
              <w:jc w:val="both"/>
              <w:rPr>
                <w:rFonts w:ascii="Times New Roman" w:hAnsi="Times New Roman" w:eastAsia="方正仿宋简体" w:cs="仿宋"/>
                <w:color w:val="000000" w:themeColor="text1"/>
                <w:kern w:val="2"/>
                <w:szCs w:val="32"/>
                <w14:textFill>
                  <w14:solidFill>
                    <w14:schemeClr w14:val="tx1"/>
                  </w14:solidFill>
                </w14:textFill>
              </w:rPr>
            </w:pPr>
            <w:r>
              <w:rPr>
                <w:rFonts w:hint="eastAsia" w:ascii="Times New Roman" w:hAnsi="Times New Roman" w:eastAsia="方正仿宋简体" w:cs="仿宋"/>
                <w:color w:val="000000" w:themeColor="text1"/>
                <w:kern w:val="2"/>
                <w:szCs w:val="32"/>
                <w14:textFill>
                  <w14:solidFill>
                    <w14:schemeClr w14:val="tx1"/>
                  </w14:solidFill>
                </w14:textFill>
              </w:rPr>
              <w:t>依托“鲤城区数字文创动漫基地”，打造“中国</w:t>
            </w:r>
            <w:r>
              <w:rPr>
                <w:rFonts w:ascii="Times New Roman" w:hAnsi="Times New Roman" w:eastAsia="方正仿宋简体" w:cs="仿宋"/>
                <w:color w:val="000000" w:themeColor="text1"/>
                <w:sz w:val="32"/>
                <w:szCs w:val="32"/>
                <w14:textFill>
                  <w14:solidFill>
                    <w14:schemeClr w14:val="tx1"/>
                  </w14:solidFill>
                </w14:textFill>
              </w:rPr>
              <w:t>·</w:t>
            </w:r>
            <w:r>
              <w:rPr>
                <w:rFonts w:hint="eastAsia" w:ascii="Times New Roman" w:hAnsi="Times New Roman" w:eastAsia="方正仿宋简体" w:cs="仿宋"/>
                <w:color w:val="000000" w:themeColor="text1"/>
                <w:kern w:val="2"/>
                <w:szCs w:val="32"/>
                <w14:textFill>
                  <w14:solidFill>
                    <w14:schemeClr w14:val="tx1"/>
                  </w14:solidFill>
                </w14:textFill>
              </w:rPr>
              <w:t>漫都“，力争到2025年，数字文创产业集群规模产值达到50亿元。</w:t>
            </w:r>
          </w:p>
        </w:tc>
        <w:tc>
          <w:tcPr>
            <w:tcW w:w="1439" w:type="pct"/>
            <w:vAlign w:val="center"/>
          </w:tcPr>
          <w:p w14:paraId="04B15890">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（1）文创手游</w:t>
            </w:r>
          </w:p>
          <w:p w14:paraId="261AB914">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（2）动漫游戏</w:t>
            </w:r>
          </w:p>
          <w:p w14:paraId="77697077">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（3）影视电竞</w:t>
            </w:r>
          </w:p>
          <w:p w14:paraId="1070F131">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（4）文创设计、IP打造</w:t>
            </w:r>
          </w:p>
          <w:p w14:paraId="333B6B64">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（5）数字旅游等</w:t>
            </w:r>
          </w:p>
        </w:tc>
        <w:tc>
          <w:tcPr>
            <w:tcW w:w="1437" w:type="pct"/>
            <w:vAlign w:val="center"/>
          </w:tcPr>
          <w:p w14:paraId="5D1E2557">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载体项目：</w:t>
            </w:r>
            <w:r>
              <w:rPr>
                <w:rFonts w:hint="eastAsia" w:ascii="Times New Roman" w:hAnsi="Times New Roman" w:eastAsia="方正仿宋简体" w:cs="仿宋"/>
                <w:color w:val="000000" w:themeColor="text1"/>
                <w:szCs w:val="32"/>
                <w14:textFill>
                  <w14:solidFill>
                    <w14:schemeClr w14:val="tx1"/>
                  </w14:solidFill>
                </w14:textFill>
              </w:rPr>
              <w:t>东亚之窗文化创意产业园、泉州新门片区“三创园”、源和1916创意产业园、龙头山片区文化旅游项目等。</w:t>
            </w:r>
          </w:p>
        </w:tc>
      </w:tr>
      <w:bookmarkEnd w:id="93"/>
      <w:tr w14:paraId="0ADA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300" w:type="pct"/>
            <w:vMerge w:val="restart"/>
            <w:vAlign w:val="center"/>
          </w:tcPr>
          <w:p w14:paraId="60F165A2">
            <w:pPr>
              <w:widowControl w:val="0"/>
              <w:spacing w:line="360" w:lineRule="exact"/>
              <w:jc w:val="both"/>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生活性服务业</w:t>
            </w:r>
          </w:p>
        </w:tc>
        <w:tc>
          <w:tcPr>
            <w:tcW w:w="683" w:type="pct"/>
            <w:vAlign w:val="center"/>
          </w:tcPr>
          <w:p w14:paraId="4C0982CE">
            <w:pPr>
              <w:widowControl w:val="0"/>
              <w:spacing w:line="360" w:lineRule="exact"/>
              <w:jc w:val="both"/>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商贸服务</w:t>
            </w:r>
          </w:p>
        </w:tc>
        <w:tc>
          <w:tcPr>
            <w:tcW w:w="1141" w:type="pct"/>
            <w:vAlign w:val="center"/>
          </w:tcPr>
          <w:p w14:paraId="1C8AF683">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打造现代商贸示范城市，力争到2025年，商贸流通产值达500亿元以上。</w:t>
            </w:r>
          </w:p>
        </w:tc>
        <w:tc>
          <w:tcPr>
            <w:tcW w:w="1439" w:type="pct"/>
            <w:vAlign w:val="center"/>
          </w:tcPr>
          <w:p w14:paraId="24841638">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（1）综合体商圈</w:t>
            </w:r>
          </w:p>
          <w:p w14:paraId="556E1D25">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（2）特色商品街区</w:t>
            </w:r>
          </w:p>
          <w:p w14:paraId="54CB61FE">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（3）专业市场</w:t>
            </w:r>
          </w:p>
          <w:p w14:paraId="4FC23109">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（4）汽车贸易走廊</w:t>
            </w:r>
          </w:p>
        </w:tc>
        <w:tc>
          <w:tcPr>
            <w:tcW w:w="1437" w:type="pct"/>
            <w:vAlign w:val="center"/>
          </w:tcPr>
          <w:p w14:paraId="0300BBEB">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载体项目：</w:t>
            </w:r>
            <w:r>
              <w:rPr>
                <w:rFonts w:hint="eastAsia" w:ascii="Times New Roman" w:hAnsi="Times New Roman" w:eastAsia="方正仿宋简体" w:cs="仿宋"/>
                <w:color w:val="000000" w:themeColor="text1"/>
                <w:szCs w:val="32"/>
                <w14:textFill>
                  <w14:solidFill>
                    <w14:schemeClr w14:val="tx1"/>
                  </w14:solidFill>
                </w14:textFill>
              </w:rPr>
              <w:t>国际汽车产业城、国际汽配及工程机械交易城、上海大众汽车城、海天商贸物流产业园、欧亚达家居商场等。</w:t>
            </w:r>
          </w:p>
        </w:tc>
      </w:tr>
      <w:tr w14:paraId="29AC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vMerge w:val="continue"/>
            <w:vAlign w:val="center"/>
          </w:tcPr>
          <w:p w14:paraId="6C349A67">
            <w:pPr>
              <w:widowControl w:val="0"/>
              <w:spacing w:line="360" w:lineRule="exact"/>
              <w:jc w:val="both"/>
              <w:rPr>
                <w:rFonts w:ascii="Times New Roman" w:hAnsi="Times New Roman" w:eastAsia="方正仿宋简体" w:cs="仿宋"/>
                <w:b/>
                <w:color w:val="000000" w:themeColor="text1"/>
                <w:szCs w:val="32"/>
                <w14:textFill>
                  <w14:solidFill>
                    <w14:schemeClr w14:val="tx1"/>
                  </w14:solidFill>
                </w14:textFill>
              </w:rPr>
            </w:pPr>
            <w:bookmarkStart w:id="94" w:name="_Hlk48838724"/>
          </w:p>
        </w:tc>
        <w:tc>
          <w:tcPr>
            <w:tcW w:w="683" w:type="pct"/>
            <w:vAlign w:val="center"/>
          </w:tcPr>
          <w:p w14:paraId="5E44A6C7">
            <w:pPr>
              <w:widowControl w:val="0"/>
              <w:spacing w:line="360" w:lineRule="exact"/>
              <w:jc w:val="both"/>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文化旅游</w:t>
            </w:r>
          </w:p>
        </w:tc>
        <w:tc>
          <w:tcPr>
            <w:tcW w:w="1141" w:type="pct"/>
            <w:vAlign w:val="center"/>
          </w:tcPr>
          <w:p w14:paraId="3BC5EA17">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打造国际海丝文化旅游度假胜地，力争到2025年，旅游收入达350亿元，年接待游客人数突破1200万人次。</w:t>
            </w:r>
          </w:p>
        </w:tc>
        <w:tc>
          <w:tcPr>
            <w:tcW w:w="1439" w:type="pct"/>
            <w:vAlign w:val="center"/>
          </w:tcPr>
          <w:p w14:paraId="6D863AEF">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（1）古城文化生态旅游</w:t>
            </w:r>
          </w:p>
          <w:p w14:paraId="616AD15F">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（2）滨江文体休闲旅游</w:t>
            </w:r>
          </w:p>
          <w:p w14:paraId="00DB40C9">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（3）紫帽山生态康养休闲旅游</w:t>
            </w:r>
          </w:p>
          <w:p w14:paraId="23A13CF3">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（4）工业观光旅游</w:t>
            </w:r>
          </w:p>
          <w:p w14:paraId="65D95425">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（5）研学旅游</w:t>
            </w:r>
          </w:p>
          <w:p w14:paraId="27BE028D">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（6）自驾休闲旅游</w:t>
            </w:r>
          </w:p>
        </w:tc>
        <w:tc>
          <w:tcPr>
            <w:tcW w:w="1437" w:type="pct"/>
            <w:vAlign w:val="center"/>
          </w:tcPr>
          <w:p w14:paraId="7C23D086">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载体项目：</w:t>
            </w:r>
            <w:r>
              <w:rPr>
                <w:rFonts w:hint="eastAsia" w:ascii="Times New Roman" w:hAnsi="Times New Roman" w:eastAsia="方正仿宋简体" w:cs="仿宋"/>
                <w:color w:val="000000" w:themeColor="text1"/>
                <w:szCs w:val="32"/>
                <w14:textFill>
                  <w14:solidFill>
                    <w14:schemeClr w14:val="tx1"/>
                  </w14:solidFill>
                </w14:textFill>
              </w:rPr>
              <w:t>鲤城区旅游接待载体提升改造工程、紫帽山农业观光生态园、泉州聚宝城南文化街区、龙头山片区文化旅游街区等。</w:t>
            </w:r>
          </w:p>
        </w:tc>
      </w:tr>
      <w:tr w14:paraId="2E53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vMerge w:val="continue"/>
            <w:vAlign w:val="center"/>
          </w:tcPr>
          <w:p w14:paraId="19573002">
            <w:pPr>
              <w:widowControl w:val="0"/>
              <w:spacing w:line="360" w:lineRule="exact"/>
              <w:jc w:val="both"/>
              <w:rPr>
                <w:rFonts w:ascii="Times New Roman" w:hAnsi="Times New Roman" w:eastAsia="方正仿宋简体" w:cs="仿宋"/>
                <w:b/>
                <w:color w:val="000000" w:themeColor="text1"/>
                <w:szCs w:val="32"/>
                <w14:textFill>
                  <w14:solidFill>
                    <w14:schemeClr w14:val="tx1"/>
                  </w14:solidFill>
                </w14:textFill>
              </w:rPr>
            </w:pPr>
          </w:p>
        </w:tc>
        <w:tc>
          <w:tcPr>
            <w:tcW w:w="683" w:type="pct"/>
            <w:vAlign w:val="center"/>
          </w:tcPr>
          <w:p w14:paraId="7AE0E70E">
            <w:pPr>
              <w:widowControl w:val="0"/>
              <w:spacing w:line="360" w:lineRule="exact"/>
              <w:jc w:val="both"/>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家庭服务</w:t>
            </w:r>
          </w:p>
        </w:tc>
        <w:tc>
          <w:tcPr>
            <w:tcW w:w="1141" w:type="pct"/>
            <w:vAlign w:val="center"/>
          </w:tcPr>
          <w:p w14:paraId="799C8936">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建立健全全品类、内涵丰富、结构合理的家庭服务业体系。</w:t>
            </w:r>
          </w:p>
        </w:tc>
        <w:tc>
          <w:tcPr>
            <w:tcW w:w="1439" w:type="pct"/>
            <w:vAlign w:val="center"/>
          </w:tcPr>
          <w:p w14:paraId="5B180685">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（1）家政服务</w:t>
            </w:r>
          </w:p>
          <w:p w14:paraId="44F2197B">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（2）病患陪护</w:t>
            </w:r>
          </w:p>
          <w:p w14:paraId="1D83B316">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（3）家庭用品配送</w:t>
            </w:r>
          </w:p>
          <w:p w14:paraId="1C2DEC50">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（4）社区养老</w:t>
            </w:r>
          </w:p>
          <w:p w14:paraId="06C52DE6">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（5）居家养老</w:t>
            </w:r>
          </w:p>
        </w:tc>
        <w:tc>
          <w:tcPr>
            <w:tcW w:w="1437" w:type="pct"/>
            <w:vAlign w:val="center"/>
          </w:tcPr>
          <w:p w14:paraId="62FDC465">
            <w:pPr>
              <w:widowControl w:val="0"/>
              <w:spacing w:line="360" w:lineRule="exact"/>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载体项目：</w:t>
            </w:r>
            <w:r>
              <w:rPr>
                <w:rFonts w:hint="eastAsia" w:ascii="Times New Roman" w:hAnsi="Times New Roman" w:eastAsia="方正仿宋简体" w:cs="仿宋"/>
                <w:color w:val="000000" w:themeColor="text1"/>
                <w:szCs w:val="32"/>
                <w14:textFill>
                  <w14:solidFill>
                    <w14:schemeClr w14:val="tx1"/>
                  </w14:solidFill>
                </w14:textFill>
              </w:rPr>
              <w:t>江南老年颐乐园、开元街道养老照料中心、鲤城兴贤医院等。</w:t>
            </w:r>
          </w:p>
        </w:tc>
      </w:tr>
      <w:bookmarkEnd w:id="94"/>
    </w:tbl>
    <w:p w14:paraId="0B08667A">
      <w:pPr>
        <w:pStyle w:val="3"/>
        <w:keepNext w:val="0"/>
        <w:keepLines w:val="0"/>
        <w:overflowPunct w:val="0"/>
        <w:spacing w:before="0" w:after="0" w:line="590" w:lineRule="exact"/>
        <w:jc w:val="center"/>
        <w:rPr>
          <w:rFonts w:ascii="Times New Roman" w:hAnsi="Times New Roman" w:eastAsia="黑体" w:cs="Times New Roman (标题 CS)"/>
          <w:b w:val="0"/>
          <w:color w:val="000000" w:themeColor="text1"/>
          <w14:textFill>
            <w14:solidFill>
              <w14:schemeClr w14:val="tx1"/>
            </w14:solidFill>
          </w14:textFill>
        </w:rPr>
      </w:pPr>
      <w:bookmarkStart w:id="95" w:name="_Toc73976150"/>
      <w:bookmarkStart w:id="96" w:name="_Toc59811665"/>
    </w:p>
    <w:p w14:paraId="12A0438B">
      <w:pPr>
        <w:pStyle w:val="3"/>
        <w:keepNext w:val="0"/>
        <w:keepLines w:val="0"/>
        <w:overflowPunct w:val="0"/>
        <w:spacing w:before="0" w:after="0" w:line="590" w:lineRule="exact"/>
        <w:jc w:val="center"/>
        <w:rPr>
          <w:rFonts w:ascii="Times New Roman" w:hAnsi="Times New Roman" w:eastAsia="黑体" w:cs="Times New Roman (标题 CS)"/>
          <w:b w:val="0"/>
          <w:color w:val="000000" w:themeColor="text1"/>
          <w14:textFill>
            <w14:solidFill>
              <w14:schemeClr w14:val="tx1"/>
            </w14:solidFill>
          </w14:textFill>
        </w:rPr>
      </w:pPr>
      <w:bookmarkStart w:id="97" w:name="_Toc74035502"/>
      <w:r>
        <w:rPr>
          <w:rFonts w:hint="eastAsia" w:ascii="Times New Roman" w:hAnsi="Times New Roman" w:eastAsia="黑体" w:cs="Times New Roman (标题 CS)"/>
          <w:b w:val="0"/>
          <w:color w:val="000000" w:themeColor="text1"/>
          <w14:textFill>
            <w14:solidFill>
              <w14:schemeClr w14:val="tx1"/>
            </w14:solidFill>
          </w14:textFill>
        </w:rPr>
        <w:t>第三节 拓展新经济发展新模式</w:t>
      </w:r>
      <w:bookmarkEnd w:id="95"/>
      <w:bookmarkEnd w:id="96"/>
      <w:bookmarkEnd w:id="97"/>
    </w:p>
    <w:p w14:paraId="10ACB5B6"/>
    <w:p w14:paraId="666CD766">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加快发展楼宇经济，形成产业发展集聚区。</w:t>
      </w:r>
      <w:r>
        <w:rPr>
          <w:rFonts w:hint="eastAsia" w:ascii="Times New Roman" w:hAnsi="Times New Roman" w:eastAsia="方正仿宋简体" w:cs="仿宋"/>
          <w:color w:val="000000" w:themeColor="text1"/>
          <w:sz w:val="32"/>
          <w:szCs w:val="32"/>
          <w14:textFill>
            <w14:solidFill>
              <w14:schemeClr w14:val="tx1"/>
            </w14:solidFill>
          </w14:textFill>
        </w:rPr>
        <w:t>坚持高点定位、错位竞争，整合优化现有楼宇资源，加快存量资源有效利用。依托产业布局，引导和支持合理新建特色产业集聚楼宇、综合服务型楼宇，提升地上、地下空间资源利用水平，做大做优增量资源。持续推进滨江总部经济区等现代总部商务区建设，坚持商务服务业专业化、集聚化发展，增强产业辐射功能。以九一路、温陵路楼宇群和江南新建楼宇为主要载体，加快培育壮大楼宇经济集群，打造区域性商务营运中心。对符合产业发展方向、具有发展潜力的优秀企业给予重点扶持，引导辖区内信息、光电、机械、服装等行业龙头企业，特别是具有品牌优势和规模优势的企业总部扎根鲤城，并积极向外拓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9"/>
      </w:tblGrid>
      <w:tr w14:paraId="3D23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9" w:type="dxa"/>
            <w:shd w:val="clear" w:color="auto" w:fill="auto"/>
          </w:tcPr>
          <w:p w14:paraId="62B3C47F">
            <w:pPr>
              <w:pStyle w:val="22"/>
              <w:widowControl w:val="0"/>
              <w:shd w:val="clear" w:color="auto" w:fill="FFFFFF"/>
              <w:spacing w:before="0" w:beforeAutospacing="0" w:after="0" w:afterAutospacing="0"/>
              <w:jc w:val="center"/>
              <w:rPr>
                <w:rFonts w:ascii="Times New Roman" w:hAnsi="Times New Roman" w:eastAsia="方正仿宋简体" w:cs="仿宋"/>
                <w:b/>
                <w:color w:val="000000" w:themeColor="text1"/>
                <w:sz w:val="30"/>
                <w:szCs w:val="30"/>
                <w14:textFill>
                  <w14:solidFill>
                    <w14:schemeClr w14:val="tx1"/>
                  </w14:solidFill>
                </w14:textFill>
              </w:rPr>
            </w:pPr>
            <w:r>
              <w:rPr>
                <w:rFonts w:hint="eastAsia" w:ascii="Times New Roman" w:hAnsi="Times New Roman" w:eastAsia="方正仿宋简体" w:cs="仿宋"/>
                <w:b/>
                <w:color w:val="000000" w:themeColor="text1"/>
                <w:sz w:val="28"/>
                <w:szCs w:val="30"/>
                <w14:textFill>
                  <w14:solidFill>
                    <w14:schemeClr w14:val="tx1"/>
                  </w14:solidFill>
                </w14:textFill>
              </w:rPr>
              <w:t>专栏13 楼宇经济发展培育工程</w:t>
            </w:r>
          </w:p>
        </w:tc>
      </w:tr>
      <w:tr w14:paraId="7615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9" w:type="dxa"/>
            <w:shd w:val="clear" w:color="auto" w:fill="auto"/>
          </w:tcPr>
          <w:p w14:paraId="32F3A4EF">
            <w:pPr>
              <w:widowControl w:val="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做精楼宇经济的品牌。</w:t>
            </w:r>
            <w:r>
              <w:rPr>
                <w:rFonts w:hint="eastAsia" w:ascii="Times New Roman" w:hAnsi="Times New Roman" w:eastAsia="方正仿宋简体" w:cs="仿宋"/>
                <w:color w:val="000000" w:themeColor="text1"/>
                <w:szCs w:val="32"/>
                <w14:textFill>
                  <w14:solidFill>
                    <w14:schemeClr w14:val="tx1"/>
                  </w14:solidFill>
                </w14:textFill>
              </w:rPr>
              <w:t>明确楼宇发展定位，形成重点楼宇、特色楼宇和一般楼宇三级楼宇发展梯队，构建楼宇产业的生态链，吸引上下游产业项目的入驻，壮大产业规模。全面整合工商、税收、招商等信息资源，建立全区楼宇经济信息服务平台，对楼宇资源信息实行动态监管，定期分析楼宇经济的发展态势。</w:t>
            </w:r>
          </w:p>
          <w:p w14:paraId="135C7F89">
            <w:pPr>
              <w:widowControl w:val="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做足楼宇资源的增量。</w:t>
            </w:r>
            <w:r>
              <w:rPr>
                <w:rFonts w:hint="eastAsia" w:ascii="Times New Roman" w:hAnsi="Times New Roman" w:eastAsia="方正仿宋简体" w:cs="仿宋"/>
                <w:color w:val="000000" w:themeColor="text1"/>
                <w:szCs w:val="32"/>
                <w14:textFill>
                  <w14:solidFill>
                    <w14:schemeClr w14:val="tx1"/>
                  </w14:solidFill>
                </w14:textFill>
              </w:rPr>
              <w:t>对新增楼宇要快建优用，突出重点，落实责任，统筹推进项目建设，力争项目早建成、早投入、早见效。对现有楼宇要提档升级。大力推进老旧楼宇厂房改造提升工作，进一步扩容楼宇资源空间，为楼宇经济打造新增长极。充分整合新建楼宇资源，加大统筹协调力度，高效利用楼宇资源。</w:t>
            </w:r>
          </w:p>
          <w:p w14:paraId="5A6D2F7F">
            <w:pPr>
              <w:widowControl w:val="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做强楼宇经济的特色。</w:t>
            </w:r>
            <w:r>
              <w:rPr>
                <w:rFonts w:hint="eastAsia" w:ascii="Times New Roman" w:hAnsi="Times New Roman" w:eastAsia="方正仿宋简体" w:cs="仿宋"/>
                <w:color w:val="000000" w:themeColor="text1"/>
                <w:szCs w:val="32"/>
                <w14:textFill>
                  <w14:solidFill>
                    <w14:schemeClr w14:val="tx1"/>
                  </w14:solidFill>
                </w14:textFill>
              </w:rPr>
              <w:t>注重特色产业的招引，发挥区、部门、街道“三联动”机制，重点培育一批金融服务型、数字文创型、科技服务型、文旅服务型等特色楼宇。坚持以楼兴商、以商促楼的思路，加快推进楼宇与商务区、城市综合体等的整合，促进楼宇与商业商务的融合互动，打造特色楼宇集群和商圈。</w:t>
            </w:r>
          </w:p>
          <w:p w14:paraId="64DBF8E0">
            <w:pPr>
              <w:widowControl w:val="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做优楼宇经济的管理。</w:t>
            </w:r>
            <w:r>
              <w:rPr>
                <w:rFonts w:hint="eastAsia" w:ascii="Times New Roman" w:hAnsi="Times New Roman" w:eastAsia="方正仿宋简体" w:cs="仿宋"/>
                <w:color w:val="000000" w:themeColor="text1"/>
                <w:szCs w:val="32"/>
                <w14:textFill>
                  <w14:solidFill>
                    <w14:schemeClr w14:val="tx1"/>
                  </w14:solidFill>
                </w14:textFill>
              </w:rPr>
              <w:t>加强政策扶持力度，结合我区楼宇经济发展实际，主动借鉴楼宇经济发展的先进经验和做法，进一步研究并完善我区促进楼宇经济发展的扶持意见，突出对优势产业的支持力度。强化楼宇精细管理，要探索楼宇管理的新途径，推进“楼宇社区”建设。</w:t>
            </w:r>
          </w:p>
          <w:p w14:paraId="63571E78">
            <w:pPr>
              <w:widowControl w:val="0"/>
              <w:ind w:firstLine="482" w:firstLineChars="200"/>
              <w:jc w:val="both"/>
              <w:rPr>
                <w:rFonts w:ascii="Times New Roman" w:hAnsi="Times New Roman" w:eastAsia="方正仿宋简体" w:cs="仿宋"/>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发展目标：</w:t>
            </w:r>
            <w:r>
              <w:rPr>
                <w:rFonts w:hint="eastAsia" w:ascii="Times New Roman" w:hAnsi="Times New Roman" w:eastAsia="方正仿宋简体" w:cs="仿宋"/>
                <w:color w:val="000000" w:themeColor="text1"/>
                <w:szCs w:val="32"/>
                <w14:textFill>
                  <w14:solidFill>
                    <w14:schemeClr w14:val="tx1"/>
                  </w14:solidFill>
                </w14:textFill>
              </w:rPr>
              <w:t>加快推进滨江总部经济区、国投大厦、集英大厦等楼宇载体建设，坚持商务服务业专业化、集聚化发展，增强产业辐射功能，打造区域性商务营运中心，力争至2025年，打造多个税收超千万的特色楼宇。</w:t>
            </w:r>
          </w:p>
        </w:tc>
      </w:tr>
    </w:tbl>
    <w:p w14:paraId="7F8D68A2">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加快发展数字经济，拓展转型发展新空间。</w:t>
      </w:r>
      <w:r>
        <w:rPr>
          <w:rFonts w:hint="eastAsia" w:ascii="Times New Roman" w:hAnsi="Times New Roman" w:eastAsia="方正仿宋简体" w:cs="仿宋"/>
          <w:color w:val="000000" w:themeColor="text1"/>
          <w:sz w:val="32"/>
          <w:szCs w:val="32"/>
          <w14:textFill>
            <w14:solidFill>
              <w14:schemeClr w14:val="tx1"/>
            </w14:solidFill>
          </w14:textFill>
        </w:rPr>
        <w:t>牢牢抓住大数据、云计算、物联网等信息技术革命新机遇，推进互联网在经济社会各领域广泛应用，抢占未来竞争制高点。聚力打造创新型、网络型平台。结合重点行业发展，培育引进一批具有行业竞争力的平台企业，着力突破企业发展的地域限制，拓展服务半径，为经济发展带来新的增长点。鼓励有条件的贸易商、制造业企业、资讯服务商等拓展服务领域，向平台企业转型升级，成为具有总集成能力的专业化服务平台。扶持一批信誉好、有潜力的平台企业做大做强，支持其跨地区、跨行业、跨所有制整合资源。</w:t>
      </w:r>
      <w:r>
        <w:rPr>
          <w:rFonts w:hint="eastAsia" w:ascii="Times New Roman" w:hAnsi="Times New Roman" w:eastAsia="方正仿宋简体" w:cs="仿宋"/>
          <w:color w:val="000000" w:themeColor="text1"/>
          <w:kern w:val="2"/>
          <w:sz w:val="32"/>
          <w:szCs w:val="32"/>
          <w14:textFill>
            <w14:solidFill>
              <w14:schemeClr w14:val="tx1"/>
            </w14:solidFill>
          </w14:textFill>
        </w:rPr>
        <w:t>鼓励区内企业对接省级工业互联网平台体系，重点支持企业开展工业互联网创新发展工程项目，提升和开放工业互联网平台服务能力。</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7"/>
      </w:tblGrid>
      <w:tr w14:paraId="4DD9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7" w:type="dxa"/>
            <w:shd w:val="clear" w:color="auto" w:fill="auto"/>
          </w:tcPr>
          <w:p w14:paraId="1E242AB7">
            <w:pPr>
              <w:pStyle w:val="22"/>
              <w:widowControl w:val="0"/>
              <w:shd w:val="clear" w:color="auto" w:fill="FFFFFF"/>
              <w:spacing w:before="0" w:beforeAutospacing="0" w:after="0" w:afterAutospacing="0"/>
              <w:jc w:val="center"/>
              <w:rPr>
                <w:rFonts w:ascii="Times New Roman" w:hAnsi="Times New Roman" w:eastAsia="方正仿宋简体" w:cs="仿宋"/>
                <w:b/>
                <w:color w:val="000000" w:themeColor="text1"/>
                <w:sz w:val="30"/>
                <w:szCs w:val="30"/>
                <w14:textFill>
                  <w14:solidFill>
                    <w14:schemeClr w14:val="tx1"/>
                  </w14:solidFill>
                </w14:textFill>
              </w:rPr>
            </w:pPr>
            <w:r>
              <w:rPr>
                <w:rFonts w:hint="eastAsia" w:ascii="Times New Roman" w:hAnsi="Times New Roman" w:eastAsia="方正仿宋简体" w:cs="仿宋"/>
                <w:b/>
                <w:color w:val="000000" w:themeColor="text1"/>
                <w:sz w:val="28"/>
                <w:szCs w:val="30"/>
                <w14:textFill>
                  <w14:solidFill>
                    <w14:schemeClr w14:val="tx1"/>
                  </w14:solidFill>
                </w14:textFill>
              </w:rPr>
              <w:t>专栏14 平台经济发展重点工程</w:t>
            </w:r>
          </w:p>
        </w:tc>
      </w:tr>
      <w:tr w14:paraId="2360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7" w:type="dxa"/>
            <w:shd w:val="clear" w:color="auto" w:fill="auto"/>
          </w:tcPr>
          <w:p w14:paraId="5B7B7066">
            <w:pPr>
              <w:widowControl w:val="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企业互联网平台建设。</w:t>
            </w:r>
            <w:r>
              <w:rPr>
                <w:rFonts w:hint="eastAsia" w:ascii="Times New Roman" w:hAnsi="Times New Roman" w:eastAsia="方正仿宋简体" w:cs="仿宋"/>
                <w:color w:val="000000" w:themeColor="text1"/>
                <w:szCs w:val="32"/>
                <w14:textFill>
                  <w14:solidFill>
                    <w14:schemeClr w14:val="tx1"/>
                  </w14:solidFill>
                </w14:textFill>
              </w:rPr>
              <w:t>支持嘉亨家化、田中机械、梅洋塑胶、七星电气等示范企业建设企业级工业互联网平台，加强企业数据采集整合应用，提升企业全生命周期管理能力，提升用户体验；深化企业上云行动，制定差异化上云推进策略，针对性组织企业上云培训和对接活动，引导企业开展管理云化、业务云化、设备联网上云、数据集成上云等“深度上云”。支持捷云软件建设5G社交直播电商平台和大数据人才网平台、三川通讯建设“的士邦”出租汽车综合服务平台、正域电商建设跨境电商平台等项目。</w:t>
            </w:r>
          </w:p>
          <w:p w14:paraId="7A99CDF9">
            <w:pPr>
              <w:widowControl w:val="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行业公共服务平台建设。</w:t>
            </w:r>
            <w:r>
              <w:rPr>
                <w:rFonts w:hint="eastAsia" w:ascii="Times New Roman" w:hAnsi="Times New Roman" w:eastAsia="方正仿宋简体" w:cs="仿宋"/>
                <w:color w:val="000000" w:themeColor="text1"/>
                <w:szCs w:val="32"/>
                <w14:textFill>
                  <w14:solidFill>
                    <w14:schemeClr w14:val="tx1"/>
                  </w14:solidFill>
                </w14:textFill>
              </w:rPr>
              <w:t>发展产业+平台，支持制造业龙头企业与信息通信企业、互联网企业、工业互联网服务商等合作建设跨行业、跨领域工业互联网平台，不断提升平台工业设备、软件应用、用户与开发者、数据与平台运营等管理能力，进一步促进传统产业转型升级。鼓励区内企业对接省级工业互联网平台体系，重点支持佰源机械、联兴发针织工业互联网创新发展工程，提升工业互联网平台服务能力。至2025年，建成具有全省影响力的行业级工业互联网平台。</w:t>
            </w:r>
          </w:p>
          <w:p w14:paraId="2A84D14C">
            <w:pPr>
              <w:widowControl w:val="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数字经济产业园区建设。</w:t>
            </w:r>
            <w:r>
              <w:rPr>
                <w:rFonts w:hint="eastAsia" w:ascii="Times New Roman" w:hAnsi="Times New Roman" w:eastAsia="方正仿宋简体" w:cs="仿宋"/>
                <w:color w:val="000000" w:themeColor="text1"/>
                <w:szCs w:val="32"/>
                <w14:textFill>
                  <w14:solidFill>
                    <w14:schemeClr w14:val="tx1"/>
                  </w14:solidFill>
                </w14:textFill>
              </w:rPr>
              <w:t>深化新一代信息技术在高新园区、孵化基地、小微园区中的应用。以鲤城高新园区为依托主载体建设2.5数字经济实体核心园区，同时加快2.5数字应用型协同子园区、2.5数字基础型子园区和数字服务型子园区建设，培育软件开发公司、大数据分析公司等互联网企业，通过技术支撑鲤城数字经济发展，通过数据应用、数据管理以及算法应用等手段在园区内孵化出各类初创型企业，以数字经济赋能电商、动漫、文创设计等服务业发展，推动鲤城产业数字化、数字产业化集群发展。</w:t>
            </w:r>
          </w:p>
          <w:p w14:paraId="0AEA52BE">
            <w:pPr>
              <w:widowControl w:val="0"/>
              <w:ind w:firstLine="482" w:firstLineChars="200"/>
              <w:jc w:val="both"/>
              <w:rPr>
                <w:rFonts w:ascii="Times New Roman" w:hAnsi="Times New Roman" w:eastAsia="方正仿宋简体" w:cs="仿宋"/>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重点项目：</w:t>
            </w:r>
            <w:r>
              <w:rPr>
                <w:rFonts w:hint="eastAsia" w:ascii="Times New Roman" w:hAnsi="Times New Roman" w:eastAsia="方正仿宋简体" w:cs="仿宋"/>
                <w:color w:val="000000" w:themeColor="text1"/>
                <w:szCs w:val="32"/>
                <w14:textFill>
                  <w14:solidFill>
                    <w14:schemeClr w14:val="tx1"/>
                  </w14:solidFill>
                </w14:textFill>
              </w:rPr>
              <w:t>加快推进鲤城数字经济智慧园、晶彩视界互联网电商综合平台、公共设施物联网运营平台、网络货运华东运营中心平台、行中行工程机械产业互联网平台、华创汽车销售综合服务平台、正域电子FORUDESIGNS在线定制电商平台、淘淘巷智慧社区平台、泉州崇德教育产业服务平台、万帮修城市维修维护互联网平台、高技车修互联网平台等项目落地，力争至2025年，数字经济产业规模达到300亿元。</w:t>
            </w:r>
          </w:p>
        </w:tc>
      </w:tr>
    </w:tbl>
    <w:p w14:paraId="3ED1780F">
      <w:pPr>
        <w:pStyle w:val="22"/>
        <w:widowControl w:val="0"/>
        <w:spacing w:before="0" w:beforeAutospacing="0" w:after="0" w:afterAutospacing="0"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加快发展度假经济，吸引人流汇聚促进消费。</w:t>
      </w:r>
      <w:r>
        <w:rPr>
          <w:rFonts w:hint="eastAsia" w:ascii="Times New Roman" w:hAnsi="Times New Roman" w:eastAsia="方正仿宋简体" w:cs="仿宋"/>
          <w:color w:val="000000" w:themeColor="text1"/>
          <w:sz w:val="32"/>
          <w:szCs w:val="32"/>
          <w14:textFill>
            <w14:solidFill>
              <w14:schemeClr w14:val="tx1"/>
            </w14:solidFill>
          </w14:textFill>
        </w:rPr>
        <w:t>围绕古城国家级生态旅游度假区建设，进一步完善度假经济发展载体，引入和培育新业态。按照“提升老街区、发展新街区、创建名街区”的要求，重点围绕一批历史文化街区、时尚商业街区、文化创意街区、中华老字号街区等建设地标性消费休闲集聚区，繁荣商贸消费市场，推进全域旅游消费。常态化开展“中山路百年倒计时”活动，持续开展商圈提升行动，培育“刺桐</w:t>
      </w:r>
      <w:r>
        <w:rPr>
          <w:rFonts w:hint="eastAsia" w:ascii="Times New Roman" w:hAnsi="Times New Roman" w:eastAsia="方正仿宋简体" w:cs="仿宋"/>
          <w:color w:val="000000" w:themeColor="text1"/>
          <w:sz w:val="32"/>
          <w:szCs w:val="32"/>
          <w14:textFill>
            <w14:solidFill>
              <w14:schemeClr w14:val="tx1"/>
            </w14:solidFill>
          </w14:textFill>
        </w:rPr>
        <w:sym w:font="Wingdings" w:char="F09F"/>
      </w:r>
      <w:r>
        <w:rPr>
          <w:rFonts w:hint="eastAsia" w:ascii="Times New Roman" w:hAnsi="Times New Roman" w:eastAsia="方正仿宋简体" w:cs="仿宋"/>
          <w:color w:val="000000" w:themeColor="text1"/>
          <w:sz w:val="32"/>
          <w:szCs w:val="32"/>
          <w14:textFill>
            <w14:solidFill>
              <w14:schemeClr w14:val="tx1"/>
            </w14:solidFill>
          </w14:textFill>
        </w:rPr>
        <w:t>鲤”</w:t>
      </w:r>
      <w:r>
        <w:rPr>
          <w:rFonts w:ascii="Times New Roman" w:hAnsi="Times New Roman" w:eastAsia="方正仿宋简体" w:cs="仿宋"/>
          <w:color w:val="000000" w:themeColor="text1"/>
          <w:sz w:val="32"/>
          <w:szCs w:val="32"/>
          <w14:textFill>
            <w14:solidFill>
              <w14:schemeClr w14:val="tx1"/>
            </w14:solidFill>
          </w14:textFill>
        </w:rPr>
        <w:t>等一系列特色文旅消费热点，指导商圈业态错位经营发展，推动一批老字号旅游示范门店、品牌民宿等集聚发展，培育一批示范商圈、时尚步行街、夜间经济集聚区</w:t>
      </w:r>
      <w:r>
        <w:rPr>
          <w:rFonts w:hint="eastAsia" w:ascii="Times New Roman" w:hAnsi="Times New Roman" w:eastAsia="方正仿宋简体" w:cs="仿宋"/>
          <w:color w:val="000000" w:themeColor="text1"/>
          <w:sz w:val="32"/>
          <w:szCs w:val="32"/>
          <w14:textFill>
            <w14:solidFill>
              <w14:schemeClr w14:val="tx1"/>
            </w14:solidFill>
          </w14:textFill>
        </w:rPr>
        <w:t>、社区便民商圈，整合产业发展，融合多种业态，使商贸、旅游、文化等产业各展优势、各显特色、相互促进、协调发展，共同打造度假经济新亮点。加强旅客群体细分和景区功能组合，注重全价值链的游客感受，通过策划各类文旅项目展示古城魅力，吸引游客在鲤城留宿，重点发展夜间经济，多方位刺激消费需求，释放旅游群体消费潜力，打造度假经济产业集群。</w:t>
      </w:r>
    </w:p>
    <w:p w14:paraId="518E6C1C">
      <w:pPr>
        <w:pStyle w:val="22"/>
        <w:widowControl w:val="0"/>
        <w:spacing w:before="0" w:beforeAutospacing="0" w:after="0" w:afterAutospacing="0"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p w14:paraId="2C3B55D4">
      <w:pPr>
        <w:pStyle w:val="22"/>
        <w:widowControl w:val="0"/>
        <w:spacing w:before="0" w:beforeAutospacing="0" w:after="0" w:afterAutospacing="0"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7"/>
      </w:tblGrid>
      <w:tr w14:paraId="3D6F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7" w:type="dxa"/>
            <w:shd w:val="clear" w:color="auto" w:fill="auto"/>
          </w:tcPr>
          <w:p w14:paraId="30F80E95">
            <w:pPr>
              <w:pStyle w:val="22"/>
              <w:widowControl w:val="0"/>
              <w:shd w:val="clear" w:color="auto" w:fill="FFFFFF"/>
              <w:spacing w:before="0" w:beforeAutospacing="0" w:after="0" w:afterAutospacing="0"/>
              <w:jc w:val="center"/>
              <w:rPr>
                <w:rFonts w:ascii="Times New Roman" w:hAnsi="Times New Roman" w:eastAsia="方正仿宋简体" w:cs="仿宋"/>
                <w:b/>
                <w:color w:val="000000" w:themeColor="text1"/>
                <w:sz w:val="28"/>
                <w:szCs w:val="30"/>
                <w14:textFill>
                  <w14:solidFill>
                    <w14:schemeClr w14:val="tx1"/>
                  </w14:solidFill>
                </w14:textFill>
              </w:rPr>
            </w:pPr>
            <w:r>
              <w:rPr>
                <w:rFonts w:hint="eastAsia" w:ascii="Times New Roman" w:hAnsi="Times New Roman" w:eastAsia="方正仿宋简体" w:cs="仿宋"/>
                <w:b/>
                <w:color w:val="000000" w:themeColor="text1"/>
                <w:sz w:val="28"/>
                <w:szCs w:val="30"/>
                <w14:textFill>
                  <w14:solidFill>
                    <w14:schemeClr w14:val="tx1"/>
                  </w14:solidFill>
                </w14:textFill>
              </w:rPr>
              <w:t>专栏15 夜间经济发展行动方案</w:t>
            </w:r>
          </w:p>
        </w:tc>
      </w:tr>
      <w:tr w14:paraId="7289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7" w:type="dxa"/>
            <w:shd w:val="clear" w:color="auto" w:fill="auto"/>
          </w:tcPr>
          <w:p w14:paraId="045D3A51">
            <w:pPr>
              <w:pStyle w:val="22"/>
              <w:widowControl w:val="0"/>
              <w:spacing w:before="0" w:beforeAutospacing="0" w:after="0" w:afterAutospacing="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培育夜间经济集聚区。</w:t>
            </w:r>
            <w:r>
              <w:rPr>
                <w:rFonts w:hint="eastAsia" w:ascii="Times New Roman" w:hAnsi="Times New Roman" w:eastAsia="方正仿宋简体" w:cs="仿宋"/>
                <w:color w:val="000000" w:themeColor="text1"/>
                <w:szCs w:val="32"/>
                <w14:textFill>
                  <w14:solidFill>
                    <w14:schemeClr w14:val="tx1"/>
                  </w14:solidFill>
                </w14:textFill>
              </w:rPr>
              <w:t>鼓励依托夜市街区、特色商业街、旅游景点、文化娱乐设施等建设餐饮集聚型、购物集聚型、文体消费型、旅游观光型、便利服务型夜间经济集聚区。强化夜间经济集聚区风貌建设、设施配套和业态引导，注重品质提升和绿色消费。</w:t>
            </w:r>
          </w:p>
          <w:p w14:paraId="6700F74E">
            <w:pPr>
              <w:pStyle w:val="22"/>
              <w:widowControl w:val="0"/>
              <w:spacing w:before="0" w:beforeAutospacing="0" w:after="0" w:afterAutospacing="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创建夜间经济示范区。</w:t>
            </w:r>
            <w:r>
              <w:rPr>
                <w:rFonts w:hint="eastAsia" w:ascii="Times New Roman" w:hAnsi="Times New Roman" w:eastAsia="方正仿宋简体" w:cs="仿宋"/>
                <w:color w:val="000000" w:themeColor="text1"/>
                <w:szCs w:val="32"/>
                <w14:textFill>
                  <w14:solidFill>
                    <w14:schemeClr w14:val="tx1"/>
                  </w14:solidFill>
                </w14:textFill>
              </w:rPr>
              <w:t>鼓励以夜间经济集聚区为依托，出台扶持政策，围绕活力时尚、休闲健康、跨界融合等主题创新发展，创建一批时尚型、融合型、便民型夜间经济示范区，打造一批“本地人常去、外地人必去”的网红打卡地。</w:t>
            </w:r>
          </w:p>
          <w:p w14:paraId="400361A9">
            <w:pPr>
              <w:pStyle w:val="22"/>
              <w:widowControl w:val="0"/>
              <w:spacing w:before="0" w:beforeAutospacing="0" w:after="0" w:afterAutospacing="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打造夜间经济核心区。</w:t>
            </w:r>
            <w:r>
              <w:rPr>
                <w:rFonts w:hint="eastAsia" w:ascii="Times New Roman" w:hAnsi="Times New Roman" w:eastAsia="方正仿宋简体" w:cs="仿宋"/>
                <w:color w:val="000000" w:themeColor="text1"/>
                <w:szCs w:val="32"/>
                <w14:textFill>
                  <w14:solidFill>
                    <w14:schemeClr w14:val="tx1"/>
                  </w14:solidFill>
                </w14:textFill>
              </w:rPr>
              <w:t>发挥老城区核心区历史文化和景观资源优势，以老城区为重点，联动江南新区，串连东西街、中山路、南俊路、打锡街等夜间热点消费场所，打造夜间经济核心区。</w:t>
            </w:r>
          </w:p>
          <w:p w14:paraId="5ED5BC4C">
            <w:pPr>
              <w:pStyle w:val="22"/>
              <w:widowControl w:val="0"/>
              <w:spacing w:before="0" w:beforeAutospacing="0" w:after="0" w:afterAutospacing="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构建一批夜间消费商圈。</w:t>
            </w:r>
            <w:r>
              <w:rPr>
                <w:rFonts w:hint="eastAsia" w:ascii="Times New Roman" w:hAnsi="Times New Roman" w:eastAsia="方正仿宋简体" w:cs="仿宋"/>
                <w:color w:val="000000" w:themeColor="text1"/>
                <w:szCs w:val="32"/>
                <w14:textFill>
                  <w14:solidFill>
                    <w14:schemeClr w14:val="tx1"/>
                  </w14:solidFill>
                </w14:textFill>
              </w:rPr>
              <w:t>以商业综合体、美食街、文娱设施等商业集中区为重点，整合资源、补齐短板，加强商旅文体融合，创新推广新业态新模式，提升消费品质，延长营业时间，集中连片形成重点商圈夜间经济发展带。</w:t>
            </w:r>
          </w:p>
          <w:p w14:paraId="6B8EB3E6">
            <w:pPr>
              <w:pStyle w:val="22"/>
              <w:widowControl w:val="0"/>
              <w:spacing w:before="0" w:beforeAutospacing="0" w:after="0" w:afterAutospacing="0"/>
              <w:ind w:firstLine="480" w:firstLineChars="200"/>
              <w:jc w:val="both"/>
              <w:rPr>
                <w:rFonts w:ascii="Times New Roman" w:hAnsi="Times New Roman" w:eastAsia="方正仿宋简体" w:cs="仿宋"/>
                <w:color w:val="000000" w:themeColor="text1"/>
                <w:sz w:val="28"/>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加快中山路、打锡街、南俊路、东街等街区业态更新，推动江南新区国际商贸综合体、开元盛世广场、新天城市广场业态集聚，努力构筑以核心商圈为主导、专业街市为特色的现代商业体系，2021-2022年实现中山路、打锡街、南俊路、东街商圈业态提质升级，2022-2023年把百年中山路模式推广拓展到整个古城，2023-2025年老城新区联动，街区业态全面繁荣。</w:t>
            </w:r>
          </w:p>
        </w:tc>
      </w:tr>
    </w:tbl>
    <w:p w14:paraId="2E1F989E">
      <w:pPr>
        <w:pStyle w:val="2"/>
        <w:spacing w:before="211" w:beforeLines="50" w:after="211" w:afterLines="50" w:line="580" w:lineRule="exact"/>
        <w:ind w:firstLine="720"/>
        <w:jc w:val="center"/>
        <w:rPr>
          <w:rFonts w:ascii="Times New Roman" w:hAnsi="Times New Roman"/>
          <w:b w:val="0"/>
          <w:bCs/>
          <w:color w:val="000000" w:themeColor="text1"/>
          <w:sz w:val="36"/>
          <w14:textFill>
            <w14:solidFill>
              <w14:schemeClr w14:val="tx1"/>
            </w14:solidFill>
          </w14:textFill>
        </w:rPr>
        <w:sectPr>
          <w:footnotePr>
            <w:numFmt w:val="decimalEnclosedCircleChinese"/>
          </w:footnotePr>
          <w:pgSz w:w="11900" w:h="16840"/>
          <w:pgMar w:top="1928" w:right="1474" w:bottom="1701" w:left="1588" w:header="851" w:footer="992" w:gutter="0"/>
          <w:cols w:space="425" w:num="1"/>
          <w:docGrid w:type="lines" w:linePitch="423" w:charSpace="0"/>
        </w:sectPr>
      </w:pPr>
    </w:p>
    <w:p w14:paraId="661CCEC5">
      <w:pPr>
        <w:pStyle w:val="2"/>
        <w:spacing w:after="0" w:line="590" w:lineRule="exact"/>
        <w:ind w:firstLine="0" w:firstLineChars="0"/>
        <w:jc w:val="center"/>
        <w:rPr>
          <w:rFonts w:ascii="Times New Roman" w:hAnsi="Times New Roman"/>
          <w:b w:val="0"/>
          <w:bCs/>
          <w:color w:val="000000" w:themeColor="text1"/>
          <w:sz w:val="36"/>
          <w14:textFill>
            <w14:solidFill>
              <w14:schemeClr w14:val="tx1"/>
            </w14:solidFill>
          </w14:textFill>
        </w:rPr>
      </w:pPr>
      <w:bookmarkStart w:id="98" w:name="_Toc73976151"/>
      <w:bookmarkStart w:id="99" w:name="_Toc59811666"/>
      <w:bookmarkStart w:id="100" w:name="_Toc74035503"/>
      <w:r>
        <w:rPr>
          <w:rFonts w:hint="eastAsia" w:ascii="Times New Roman" w:hAnsi="Times New Roman"/>
          <w:b w:val="0"/>
          <w:bCs/>
          <w:color w:val="000000" w:themeColor="text1"/>
          <w:sz w:val="36"/>
          <w14:textFill>
            <w14:solidFill>
              <w14:schemeClr w14:val="tx1"/>
            </w14:solidFill>
          </w14:textFill>
        </w:rPr>
        <w:t>第六章 特色发展，传承弘扬鲤城历史文脉</w:t>
      </w:r>
      <w:bookmarkEnd w:id="98"/>
      <w:bookmarkEnd w:id="99"/>
      <w:bookmarkEnd w:id="100"/>
    </w:p>
    <w:p w14:paraId="3F8AECB6"/>
    <w:p w14:paraId="47BF7384">
      <w:pPr>
        <w:pStyle w:val="22"/>
        <w:widowControl w:val="0"/>
        <w:spacing w:before="0" w:beforeAutospacing="0" w:after="0" w:afterAutospacing="0"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s="仿宋_GB2312"/>
          <w:color w:val="000000" w:themeColor="text1"/>
          <w:kern w:val="2"/>
          <w:sz w:val="32"/>
          <w:szCs w:val="32"/>
          <w14:textFill>
            <w14:solidFill>
              <w14:schemeClr w14:val="tx1"/>
            </w14:solidFill>
          </w14:textFill>
        </w:rPr>
        <w:t>坚持走文化引领发展之路，</w:t>
      </w:r>
      <w:r>
        <w:rPr>
          <w:rFonts w:hint="eastAsia" w:ascii="Times New Roman" w:hAnsi="Times New Roman" w:eastAsia="方正仿宋简体" w:cs="仿宋"/>
          <w:color w:val="000000" w:themeColor="text1"/>
          <w:sz w:val="32"/>
          <w:szCs w:val="32"/>
          <w14:textFill>
            <w14:solidFill>
              <w14:schemeClr w14:val="tx1"/>
            </w14:solidFill>
          </w14:textFill>
        </w:rPr>
        <w:t>以弘扬鲤城历史文化为重心，以满足市民的精神文化需求为目标，推动文化大发展大繁荣</w:t>
      </w:r>
      <w:r>
        <w:rPr>
          <w:rFonts w:hint="eastAsia" w:ascii="Times New Roman" w:hAnsi="Times New Roman" w:eastAsia="方正仿宋简体" w:cs="仿宋_GB2312"/>
          <w:color w:val="000000" w:themeColor="text1"/>
          <w:kern w:val="2"/>
          <w:sz w:val="32"/>
          <w:szCs w:val="32"/>
          <w14:textFill>
            <w14:solidFill>
              <w14:schemeClr w14:val="tx1"/>
            </w14:solidFill>
          </w14:textFill>
        </w:rPr>
        <w:t>；推进历史文化遗存保护、非物质文化遗产传承和多元文化交汇融合，</w:t>
      </w:r>
      <w:r>
        <w:rPr>
          <w:rFonts w:hint="eastAsia" w:ascii="Times New Roman" w:hAnsi="Times New Roman" w:eastAsia="方正仿宋简体"/>
          <w:color w:val="000000" w:themeColor="text1"/>
          <w:sz w:val="32"/>
          <w:szCs w:val="32"/>
          <w14:textFill>
            <w14:solidFill>
              <w14:schemeClr w14:val="tx1"/>
            </w14:solidFill>
          </w14:textFill>
        </w:rPr>
        <w:t>以“世界古城”建设为纽带，持续推动古城复兴，古城区全域打造“国际慢城”，全面提升鲤城的国际知名度，加快建设社会主义文化强区。</w:t>
      </w:r>
    </w:p>
    <w:p w14:paraId="380FCB74">
      <w:pPr>
        <w:pStyle w:val="22"/>
        <w:widowControl w:val="0"/>
        <w:spacing w:before="0" w:beforeAutospacing="0" w:after="0" w:afterAutospacing="0"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p w14:paraId="04FECF01">
      <w:pPr>
        <w:pStyle w:val="3"/>
        <w:keepNext w:val="0"/>
        <w:keepLines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101" w:name="_Toc47271672"/>
      <w:bookmarkStart w:id="102" w:name="_Toc47211548"/>
      <w:bookmarkStart w:id="103" w:name="_Toc74035504"/>
      <w:bookmarkStart w:id="104" w:name="_Toc73976152"/>
      <w:bookmarkStart w:id="105" w:name="_Toc59811667"/>
      <w:r>
        <w:rPr>
          <w:rFonts w:hint="eastAsia" w:ascii="黑体" w:hAnsi="黑体" w:eastAsia="黑体" w:cs="Times New Roman (标题 CS)"/>
          <w:b w:val="0"/>
          <w:color w:val="000000" w:themeColor="text1"/>
          <w14:textFill>
            <w14:solidFill>
              <w14:schemeClr w14:val="tx1"/>
            </w14:solidFill>
          </w14:textFill>
        </w:rPr>
        <w:t>第一节 推动历史文化与现代文明交相辉映</w:t>
      </w:r>
      <w:bookmarkEnd w:id="101"/>
      <w:bookmarkEnd w:id="102"/>
      <w:bookmarkEnd w:id="103"/>
      <w:bookmarkEnd w:id="104"/>
      <w:bookmarkEnd w:id="105"/>
    </w:p>
    <w:p w14:paraId="32D7E0B1"/>
    <w:p w14:paraId="499E8AE2">
      <w:pPr>
        <w:pStyle w:val="22"/>
        <w:widowControl w:val="0"/>
        <w:spacing w:before="0" w:beforeAutospacing="0" w:after="0" w:afterAutospacing="0"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保护传承历史文脉。</w:t>
      </w:r>
      <w:r>
        <w:rPr>
          <w:rFonts w:hint="eastAsia" w:ascii="Times New Roman" w:hAnsi="Times New Roman" w:eastAsia="方正仿宋简体" w:cs="仿宋"/>
          <w:color w:val="000000" w:themeColor="text1"/>
          <w:sz w:val="32"/>
          <w:szCs w:val="32"/>
          <w14:textFill>
            <w14:solidFill>
              <w14:schemeClr w14:val="tx1"/>
            </w14:solidFill>
          </w14:textFill>
        </w:rPr>
        <w:t>合理开发历史文化资源，传承千年鲤城历史文脉，充分利用现代管理理念和技术手段，推进历史文化与现代文明的完美融合。</w:t>
      </w:r>
      <w:r>
        <w:rPr>
          <w:rFonts w:hint="eastAsia" w:ascii="Times New Roman" w:hAnsi="Times New Roman" w:eastAsia="方正仿宋简体"/>
          <w:color w:val="000000" w:themeColor="text1"/>
          <w:sz w:val="32"/>
          <w14:textFill>
            <w14:solidFill>
              <w14:schemeClr w14:val="tx1"/>
            </w14:solidFill>
          </w14:textFill>
        </w:rPr>
        <w:t>深</w:t>
      </w:r>
      <w:r>
        <w:rPr>
          <w:rFonts w:hint="eastAsia" w:ascii="Times New Roman" w:hAnsi="Times New Roman" w:eastAsia="方正仿宋简体" w:cs="仿宋"/>
          <w:color w:val="000000" w:themeColor="text1"/>
          <w:sz w:val="32"/>
          <w:szCs w:val="32"/>
          <w14:textFill>
            <w14:solidFill>
              <w14:schemeClr w14:val="tx1"/>
            </w14:solidFill>
          </w14:textFill>
        </w:rPr>
        <w:t>入推进申遗点保护，积极配合“泉州：宋元中国的世界海洋商贸中心”申遗，配合考古“3+N”工作开展，加大南外宗正司、市舶司、德济门、顺济桥等遗址的保护力度，加快一峰、宝海庵等古城书院恢复、建设、活化。整合修缮西街、中山街等历史文化街区，在推进城市更新改造中加强对文化遗产的保护力度，确保城市历史文脉的延续传承，规划复建具有闽南风情人文景观的传统商业街区，加强对一批历史文化街区的活化利用，开展“百年中山路，千年泉州史”等文化传承活动。</w:t>
      </w:r>
    </w:p>
    <w:p w14:paraId="159A4BDF">
      <w:pPr>
        <w:widowControl w:val="0"/>
        <w:autoSpaceDE w:val="0"/>
        <w:autoSpaceDN w:val="0"/>
        <w:snapToGrid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bookmarkStart w:id="106" w:name="_Toc47211550"/>
      <w:r>
        <w:rPr>
          <w:rFonts w:hint="eastAsia" w:ascii="Times New Roman" w:hAnsi="Times New Roman" w:eastAsia="方正仿宋简体" w:cs="仿宋"/>
          <w:b/>
          <w:color w:val="000000" w:themeColor="text1"/>
          <w:sz w:val="32"/>
          <w:szCs w:val="32"/>
          <w14:textFill>
            <w14:solidFill>
              <w14:schemeClr w14:val="tx1"/>
            </w14:solidFill>
          </w14:textFill>
        </w:rPr>
        <w:t>保护弘扬非物质文化遗产</w:t>
      </w:r>
      <w:bookmarkEnd w:id="106"/>
      <w:r>
        <w:rPr>
          <w:rFonts w:hint="eastAsia" w:ascii="Times New Roman" w:hAnsi="Times New Roman" w:eastAsia="方正仿宋简体" w:cs="仿宋"/>
          <w:b/>
          <w:color w:val="000000" w:themeColor="text1"/>
          <w:sz w:val="32"/>
          <w:szCs w:val="32"/>
          <w14:textFill>
            <w14:solidFill>
              <w14:schemeClr w14:val="tx1"/>
            </w14:solidFill>
          </w14:textFill>
        </w:rPr>
        <w:t>。</w:t>
      </w:r>
      <w:r>
        <w:rPr>
          <w:rFonts w:hint="eastAsia" w:ascii="Times New Roman" w:hAnsi="Times New Roman" w:eastAsia="方正仿宋简体" w:cs="仿宋"/>
          <w:color w:val="000000" w:themeColor="text1"/>
          <w:sz w:val="32"/>
          <w:szCs w:val="32"/>
          <w14:textFill>
            <w14:solidFill>
              <w14:schemeClr w14:val="tx1"/>
            </w14:solidFill>
          </w14:textFill>
        </w:rPr>
        <w:t>深化“闽南文化生态保护核心区”“东亚文化之都核心区”建设，健全文化遗产保护、管理、监测、开发长效机制，推动海丝文化、闽南文化创造性转化和创新性发展。厘清鲤城人文要素分布空间，对于富集型文化遗存尽量在原址地保护、应保尽保，对于分散型文化遗存适当就近异地保护、集散成片。加强非物质文化遗产项目的保护传承，抓好各级非遗保护项目、代表性传承人和非遗传习所、展示点的申报和保护，支持、促进非遗“生产性传承”。拓宽我区李尧宝刻纸、江加走木偶头雕刻、锡雕、竹编技艺等非遗传统工艺的推介、展示、销售渠道，推进非物质文化遗产“扩编”，启动传统工艺美术品种技艺评审认定，着手建立传统工艺振兴目录。</w:t>
      </w:r>
    </w:p>
    <w:p w14:paraId="3E3D88E5">
      <w:pPr>
        <w:widowControl w:val="0"/>
        <w:autoSpaceDE w:val="0"/>
        <w:autoSpaceDN w:val="0"/>
        <w:snapToGrid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活化传承闽南记忆。</w:t>
      </w:r>
      <w:r>
        <w:rPr>
          <w:rFonts w:hint="eastAsia" w:ascii="Times New Roman" w:hAnsi="Times New Roman" w:eastAsia="方正仿宋简体" w:cs="仿宋"/>
          <w:color w:val="000000" w:themeColor="text1"/>
          <w:sz w:val="32"/>
          <w:szCs w:val="32"/>
          <w14:textFill>
            <w14:solidFill>
              <w14:schemeClr w14:val="tx1"/>
            </w14:solidFill>
          </w14:textFill>
        </w:rPr>
        <w:t>启动“鲤城记忆”工程，加大对反映鲤城历史发展进程、对国家和社会有保存价值的档案资料的征集整理，加强历史古城遗址、民风民俗、名人名居、老街老字号、方言档案信息数据库建设。通过抢救性录制有声字（词）典、编写校本教材，推动闽南方言泉州腔（府城音）的体系化传承，夯实闽南文化核心区的基础。鼓励市民生活方式、风俗习惯活态传承，推进老街巷、古民居、古建筑、旧水系保护与合理利用，活化利用多元文化。</w:t>
      </w:r>
    </w:p>
    <w:p w14:paraId="06C9D4B6">
      <w:pPr>
        <w:widowControl w:val="0"/>
        <w:autoSpaceDE w:val="0"/>
        <w:autoSpaceDN w:val="0"/>
        <w:snapToGrid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p w14:paraId="26B8F0F7">
      <w:pPr>
        <w:widowControl w:val="0"/>
        <w:autoSpaceDE w:val="0"/>
        <w:autoSpaceDN w:val="0"/>
        <w:snapToGrid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p w14:paraId="18F0A7C5">
      <w:pPr>
        <w:widowControl w:val="0"/>
        <w:autoSpaceDE w:val="0"/>
        <w:autoSpaceDN w:val="0"/>
        <w:snapToGrid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p w14:paraId="0A63389D">
      <w:pPr>
        <w:widowControl w:val="0"/>
        <w:autoSpaceDE w:val="0"/>
        <w:autoSpaceDN w:val="0"/>
        <w:snapToGrid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3"/>
      </w:tblGrid>
      <w:tr w14:paraId="49C2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3" w:type="dxa"/>
            <w:shd w:val="clear" w:color="auto" w:fill="auto"/>
          </w:tcPr>
          <w:p w14:paraId="03BF65EB">
            <w:pPr>
              <w:pStyle w:val="22"/>
              <w:widowControl w:val="0"/>
              <w:shd w:val="clear" w:color="auto" w:fill="FFFFFF"/>
              <w:spacing w:before="0" w:beforeAutospacing="0" w:after="0" w:afterAutospacing="0" w:line="400" w:lineRule="exact"/>
              <w:jc w:val="center"/>
              <w:rPr>
                <w:rFonts w:ascii="Times New Roman" w:hAnsi="Times New Roman" w:eastAsia="方正仿宋简体" w:cs="仿宋"/>
                <w:b/>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t>专栏16 “后申遗时代”文化传承行动方案</w:t>
            </w:r>
          </w:p>
        </w:tc>
      </w:tr>
      <w:tr w14:paraId="6F11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3" w:type="dxa"/>
            <w:shd w:val="clear" w:color="auto" w:fill="auto"/>
          </w:tcPr>
          <w:p w14:paraId="7185D550">
            <w:pPr>
              <w:widowControl w:val="0"/>
              <w:overflowPunct w:val="0"/>
              <w:spacing w:line="400" w:lineRule="exact"/>
              <w:ind w:right="72" w:rightChars="30"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开展历史文物建筑修缮。</w:t>
            </w:r>
            <w:r>
              <w:rPr>
                <w:rFonts w:hint="eastAsia" w:ascii="Times New Roman" w:hAnsi="Times New Roman" w:eastAsia="方正仿宋简体" w:cs="仿宋"/>
                <w:color w:val="000000" w:themeColor="text1"/>
                <w:szCs w:val="32"/>
                <w14:textFill>
                  <w14:solidFill>
                    <w14:schemeClr w14:val="tx1"/>
                  </w14:solidFill>
                </w14:textFill>
              </w:rPr>
              <w:t>落实施琅故宅、李贽故居、锡兰侨民旧居等文保单位保护修缮工程，推进亭店杨氏民居、吴树第宅、黄氏民居、蔡清故居、县城隍庙、万正色故宅等重要历史史迹修缮加固，确保古城历史遗存。</w:t>
            </w:r>
          </w:p>
          <w:p w14:paraId="33880B1D">
            <w:pPr>
              <w:widowControl w:val="0"/>
              <w:overflowPunct w:val="0"/>
              <w:spacing w:line="400" w:lineRule="exact"/>
              <w:ind w:right="72" w:rightChars="30"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促进历史文化遗产传承发展。</w:t>
            </w:r>
            <w:r>
              <w:rPr>
                <w:rFonts w:hint="eastAsia" w:ascii="Times New Roman" w:hAnsi="Times New Roman" w:eastAsia="方正仿宋简体" w:cs="仿宋"/>
                <w:color w:val="000000" w:themeColor="text1"/>
                <w:szCs w:val="32"/>
                <w14:textFill>
                  <w14:solidFill>
                    <w14:schemeClr w14:val="tx1"/>
                  </w14:solidFill>
                </w14:textFill>
              </w:rPr>
              <w:t>配合申遗点周边环境整治，组织、指导区内文物保护单位的“四有”建设工作，完善不可移动文物安全巡查制度，完成文保单位用电线路改造工程和定线落图工程，协调重点文物保护和考古项目实施，加强文物保护法律法规宣传引导。</w:t>
            </w:r>
          </w:p>
          <w:p w14:paraId="443F7137">
            <w:pPr>
              <w:widowControl w:val="0"/>
              <w:overflowPunct w:val="0"/>
              <w:spacing w:line="400" w:lineRule="exact"/>
              <w:ind w:right="72" w:rightChars="30"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文化传承保护重点工程。</w:t>
            </w:r>
            <w:r>
              <w:rPr>
                <w:rFonts w:hint="eastAsia" w:ascii="Times New Roman" w:hAnsi="Times New Roman" w:eastAsia="方正仿宋简体" w:cs="仿宋"/>
                <w:color w:val="000000" w:themeColor="text1"/>
                <w:szCs w:val="32"/>
                <w14:textFill>
                  <w14:solidFill>
                    <w14:schemeClr w14:val="tx1"/>
                  </w14:solidFill>
                </w14:textFill>
              </w:rPr>
              <w:t>组织完成全国重点文物保护单位规划编制工作，组织省级以上文保单位记录档案编制，配合市申遗中心完成市舶司遗址、南外宗正司遗址考古挖掘和展馆提升项目，加大非物质文化遗产的保护和宣传。</w:t>
            </w:r>
          </w:p>
          <w:p w14:paraId="22B3881F">
            <w:pPr>
              <w:widowControl w:val="0"/>
              <w:overflowPunct w:val="0"/>
              <w:spacing w:line="400" w:lineRule="exact"/>
              <w:ind w:right="72" w:rightChars="30" w:firstLine="562" w:firstLineChars="200"/>
              <w:jc w:val="both"/>
              <w:rPr>
                <w:rFonts w:ascii="Times New Roman" w:hAnsi="Times New Roman" w:eastAsia="方正仿宋简体" w:cs="仿宋"/>
                <w:b/>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古城风貌保护提升项目。</w:t>
            </w:r>
            <w:r>
              <w:rPr>
                <w:rFonts w:hint="eastAsia" w:ascii="Times New Roman" w:hAnsi="Times New Roman" w:eastAsia="方正仿宋简体" w:cs="仿宋"/>
                <w:color w:val="000000" w:themeColor="text1"/>
                <w:szCs w:val="32"/>
                <w14:textFill>
                  <w14:solidFill>
                    <w14:schemeClr w14:val="tx1"/>
                  </w14:solidFill>
                </w14:textFill>
              </w:rPr>
              <w:t>通政巷、花巷、新路埕、许厝埕、承天巷等古城街巷综合保护提升工程，“七个一”工程（包括旧汽车站一期工程、西街里面修缮提升工程、老范志古大厝修缮、八卦沟综合提升工程、龙头山旅游街区提升工程），笋浯溪片区提升工程、古城旅游集散中心。</w:t>
            </w:r>
          </w:p>
        </w:tc>
      </w:tr>
    </w:tbl>
    <w:p w14:paraId="2F3650EA">
      <w:pPr>
        <w:pStyle w:val="3"/>
        <w:keepNext w:val="0"/>
        <w:keepLines w:val="0"/>
        <w:spacing w:before="0" w:after="0" w:line="590" w:lineRule="exact"/>
        <w:jc w:val="center"/>
        <w:rPr>
          <w:rFonts w:ascii="Times New Roman" w:hAnsi="Times New Roman" w:eastAsia="黑体" w:cs="Times New Roman (标题 CS)"/>
          <w:b w:val="0"/>
          <w:color w:val="000000" w:themeColor="text1"/>
          <w14:textFill>
            <w14:solidFill>
              <w14:schemeClr w14:val="tx1"/>
            </w14:solidFill>
          </w14:textFill>
        </w:rPr>
      </w:pPr>
      <w:bookmarkStart w:id="107" w:name="_Toc47271673"/>
      <w:bookmarkStart w:id="108" w:name="_Toc73976153"/>
      <w:bookmarkStart w:id="109" w:name="_Toc59811668"/>
      <w:bookmarkStart w:id="110" w:name="_Toc47211553"/>
    </w:p>
    <w:p w14:paraId="5D430CD5">
      <w:pPr>
        <w:pStyle w:val="3"/>
        <w:keepNext w:val="0"/>
        <w:keepLines w:val="0"/>
        <w:spacing w:before="0" w:after="0" w:line="590" w:lineRule="exact"/>
        <w:jc w:val="center"/>
        <w:rPr>
          <w:rFonts w:ascii="Times New Roman" w:hAnsi="Times New Roman" w:eastAsia="黑体" w:cs="Times New Roman (标题 CS)"/>
          <w:b w:val="0"/>
          <w:color w:val="000000" w:themeColor="text1"/>
          <w14:textFill>
            <w14:solidFill>
              <w14:schemeClr w14:val="tx1"/>
            </w14:solidFill>
          </w14:textFill>
        </w:rPr>
      </w:pPr>
      <w:bookmarkStart w:id="111" w:name="_Toc74035505"/>
      <w:r>
        <w:rPr>
          <w:rFonts w:hint="eastAsia" w:ascii="Times New Roman" w:hAnsi="Times New Roman" w:eastAsia="黑体" w:cs="Times New Roman (标题 CS)"/>
          <w:b w:val="0"/>
          <w:color w:val="000000" w:themeColor="text1"/>
          <w14:textFill>
            <w14:solidFill>
              <w14:schemeClr w14:val="tx1"/>
            </w14:solidFill>
          </w14:textFill>
        </w:rPr>
        <w:t>第二节 推动历史文化与产业发展深度融合</w:t>
      </w:r>
      <w:bookmarkEnd w:id="107"/>
      <w:bookmarkEnd w:id="108"/>
      <w:bookmarkEnd w:id="109"/>
      <w:bookmarkEnd w:id="110"/>
      <w:bookmarkEnd w:id="111"/>
    </w:p>
    <w:p w14:paraId="1D637256"/>
    <w:p w14:paraId="3ADC56F6">
      <w:pPr>
        <w:pStyle w:val="22"/>
        <w:widowControl w:val="0"/>
        <w:spacing w:before="0" w:beforeAutospacing="0" w:after="0" w:afterAutospacing="0" w:line="590" w:lineRule="exact"/>
        <w:ind w:firstLine="640" w:firstLineChars="200"/>
        <w:jc w:val="both"/>
        <w:rPr>
          <w:rFonts w:ascii="Times New Roman" w:hAnsi="Times New Roman" w:eastAsia="方正仿宋简体" w:cs="仿宋_GB2312"/>
          <w:color w:val="000000" w:themeColor="text1"/>
          <w:kern w:val="2"/>
          <w:sz w:val="32"/>
          <w:szCs w:val="32"/>
          <w14:textFill>
            <w14:solidFill>
              <w14:schemeClr w14:val="tx1"/>
            </w14:solidFill>
          </w14:textFill>
        </w:rPr>
      </w:pPr>
      <w:r>
        <w:rPr>
          <w:rFonts w:hint="eastAsia" w:ascii="Times New Roman" w:hAnsi="Times New Roman" w:eastAsia="方正仿宋简体" w:cs="仿宋_GB2312"/>
          <w:color w:val="000000" w:themeColor="text1"/>
          <w:kern w:val="2"/>
          <w:sz w:val="32"/>
          <w:szCs w:val="32"/>
          <w14:textFill>
            <w14:solidFill>
              <w14:schemeClr w14:val="tx1"/>
            </w14:solidFill>
          </w14:textFill>
        </w:rPr>
        <w:t>把握文化与经济融合发展大趋势，把鲤城文化拓展到经济社会发展相关领域，着力打造“世界遗产城市”和“东亚文创之都”。</w:t>
      </w:r>
    </w:p>
    <w:p w14:paraId="623514A2">
      <w:pPr>
        <w:pStyle w:val="22"/>
        <w:widowControl w:val="0"/>
        <w:spacing w:before="0" w:beforeAutospacing="0" w:after="0" w:afterAutospacing="0" w:line="590" w:lineRule="exact"/>
        <w:ind w:firstLine="643" w:firstLineChars="200"/>
        <w:jc w:val="both"/>
        <w:rPr>
          <w:rFonts w:ascii="Times New Roman" w:hAnsi="Times New Roman" w:eastAsia="方正仿宋简体" w:cs="仿宋_GB2312"/>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培育新型文化市场主体。</w:t>
      </w:r>
      <w:r>
        <w:rPr>
          <w:rFonts w:hint="eastAsia" w:ascii="Times New Roman" w:hAnsi="Times New Roman" w:eastAsia="方正仿宋简体" w:cs="仿宋"/>
          <w:color w:val="000000" w:themeColor="text1"/>
          <w:sz w:val="32"/>
          <w:szCs w:val="32"/>
          <w14:textFill>
            <w14:solidFill>
              <w14:schemeClr w14:val="tx1"/>
            </w14:solidFill>
          </w14:textFill>
        </w:rPr>
        <w:t>提升文化产业竞争实力，实施文化主导产业高端化发展战略，通过成立国有文化企业，以整合优势资源、促进集群发展为重要着力点，巩固和扩大特色文化产业优势。实施休闲文化产业品质化发展战略，大力支持休闲文化产业的品牌推广、产品出新、品质提升和链条延伸。实施文化产业特色化发展战略，鼓励社会资本进入，充分挖掘鲤城传统工艺等资源优势，推动文化产业特色化、差异化发展。按照“做强文化产业、突出市场主体”的思路，着力在文创设计、动漫游戏、服务外包等优势行业深度挖掘，围绕地方特色文化资源培育多元化市场主体，推动龙岭社区“党建先行、红色研学、绿色发展”等特色休闲文化产业项目落地建设。加强与国内外文化产业巨头、战略投资者合作，支持文化龙头企业快速发展，带动“专、精、特、新”中小文化企业发展，打造优势互补、整体</w:t>
      </w:r>
      <w:r>
        <w:rPr>
          <w:rFonts w:hint="eastAsia" w:ascii="Times New Roman" w:hAnsi="Times New Roman" w:eastAsia="方正仿宋简体" w:cs="仿宋_GB2312"/>
          <w:color w:val="000000" w:themeColor="text1"/>
          <w:kern w:val="2"/>
          <w:sz w:val="32"/>
          <w:szCs w:val="32"/>
          <w14:textFill>
            <w14:solidFill>
              <w14:schemeClr w14:val="tx1"/>
            </w14:solidFill>
          </w14:textFill>
        </w:rPr>
        <w:t>作战的文化产业集团军。</w:t>
      </w:r>
    </w:p>
    <w:p w14:paraId="613B1514">
      <w:pPr>
        <w:widowControl w:val="0"/>
        <w:autoSpaceDE w:val="0"/>
        <w:autoSpaceDN w:val="0"/>
        <w:snapToGrid w:val="0"/>
        <w:spacing w:line="590" w:lineRule="exact"/>
        <w:ind w:firstLine="643" w:firstLineChars="200"/>
        <w:jc w:val="both"/>
        <w:rPr>
          <w:rFonts w:ascii="Times New Roman" w:hAnsi="Times New Roman" w:eastAsia="方正仿宋简体" w:cs="仿宋_GB2312"/>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推动文化跨界融合发展。</w:t>
      </w:r>
      <w:r>
        <w:rPr>
          <w:rFonts w:hint="eastAsia" w:ascii="Times New Roman" w:hAnsi="Times New Roman" w:eastAsia="方正仿宋简体" w:cs="仿宋_GB2312"/>
          <w:color w:val="000000" w:themeColor="text1"/>
          <w:sz w:val="32"/>
          <w:szCs w:val="32"/>
          <w14:textFill>
            <w14:solidFill>
              <w14:schemeClr w14:val="tx1"/>
            </w14:solidFill>
          </w14:textFill>
        </w:rPr>
        <w:t>加快文化与相关产业的深度融合，推动项目对接、业态对接和资本对接，促进经济结构调整和发展方式转变，释放鲤城文化拉动经济的最大效应。积极发展“互联网+文化”，培育文化产业新形态，促进文化旅游、出版传媒、影视产业、文体休闲、动漫创意、文化演艺等传统文化产业从产业链低端向高端转移；推进文化创意和设计服务与相关产业融合发展，促进产品和服务创新；大力发展数字出版、网络出版产业，重点发展基于移动互联网的手机出版产业，培育发展网络“云时代”的数字出版产业。打造动漫作品原创与加工、人才培养、研发孵育、成果展示等特色为一体的现代化动漫技术支撑平台。</w:t>
      </w:r>
    </w:p>
    <w:p w14:paraId="587C6A18">
      <w:pPr>
        <w:widowControl w:val="0"/>
        <w:spacing w:line="590" w:lineRule="exact"/>
        <w:ind w:firstLine="643" w:firstLineChars="200"/>
        <w:jc w:val="both"/>
        <w:rPr>
          <w:rFonts w:ascii="Times New Roman" w:hAnsi="Times New Roman" w:eastAsia="方正仿宋简体" w:cs="仿宋_GB2312"/>
          <w:color w:val="000000" w:themeColor="text1"/>
          <w:sz w:val="32"/>
          <w:szCs w:val="32"/>
          <w14:textFill>
            <w14:solidFill>
              <w14:schemeClr w14:val="tx1"/>
            </w14:solidFill>
          </w14:textFill>
        </w:rPr>
      </w:pPr>
      <w:r>
        <w:rPr>
          <w:rFonts w:hint="eastAsia" w:ascii="Times New Roman" w:hAnsi="Times New Roman" w:eastAsia="方正仿宋简体" w:cs="仿宋_GB2312"/>
          <w:b/>
          <w:color w:val="000000" w:themeColor="text1"/>
          <w:sz w:val="32"/>
          <w:szCs w:val="32"/>
          <w14:textFill>
            <w14:solidFill>
              <w14:schemeClr w14:val="tx1"/>
            </w14:solidFill>
          </w14:textFill>
        </w:rPr>
        <w:t>加快文化旅游特色发展。</w:t>
      </w:r>
      <w:r>
        <w:rPr>
          <w:rFonts w:hint="eastAsia" w:ascii="Times New Roman" w:hAnsi="Times New Roman" w:eastAsia="方正仿宋简体" w:cs="仿宋_GB2312"/>
          <w:color w:val="000000" w:themeColor="text1"/>
          <w:sz w:val="32"/>
          <w:szCs w:val="32"/>
          <w14:textFill>
            <w14:solidFill>
              <w14:schemeClr w14:val="tx1"/>
            </w14:solidFill>
          </w14:textFill>
        </w:rPr>
        <w:t>依托古城历史遗迹及非物质文化遗产，重点发展古城传统文化体验、数字文创、动漫互娱、特色餐饮、住宿接待等。推进“文旅+”街区建设工程，通过保护、挖掘、利用“非物质文化遗产”，整合、包装优质资源，突出传承闽南文化、留住乡愁乡韵等主题概念，打造魅力街区。重点推进江南街道王宫社区“王顺兴信局+拍胸舞+古榕公园”、金龙街道高山社区“古民居+民宿+城市建设”、常泰街道上村社区“苏夫人姑庙+紫帽山风景区”等项目，彰显独具魅力的社区文化底蕴。加大发展观光游憩、文体娱乐等产业，充分利用河、滩等生态要素及休闲步道、江滨公园设施，构建绿色滨江休闲慢生活空间，培育一批具有鲤城特色的文体旅产业活动赛事品牌。</w:t>
      </w:r>
    </w:p>
    <w:p w14:paraId="5B12ACC1">
      <w:pPr>
        <w:widowControl w:val="0"/>
        <w:spacing w:line="590" w:lineRule="exact"/>
        <w:ind w:firstLine="640" w:firstLineChars="200"/>
        <w:jc w:val="both"/>
        <w:rPr>
          <w:rFonts w:ascii="Times New Roman" w:hAnsi="Times New Roman" w:eastAsia="方正仿宋简体" w:cs="仿宋_GB2312"/>
          <w:color w:val="000000" w:themeColor="text1"/>
          <w:sz w:val="32"/>
          <w:szCs w:val="32"/>
          <w14:textFill>
            <w14:solidFill>
              <w14:schemeClr w14:val="tx1"/>
            </w14:solidFill>
          </w14:textFill>
        </w:rPr>
      </w:pPr>
    </w:p>
    <w:p w14:paraId="346FFEA1">
      <w:pPr>
        <w:pStyle w:val="3"/>
        <w:keepNext w:val="0"/>
        <w:keepLines w:val="0"/>
        <w:spacing w:before="0" w:after="0" w:line="590" w:lineRule="exact"/>
        <w:jc w:val="center"/>
        <w:rPr>
          <w:rFonts w:ascii="Times New Roman" w:hAnsi="Times New Roman" w:eastAsia="方正黑体简体" w:cs="Times New Roman (标题 CS)"/>
          <w:b w:val="0"/>
          <w:color w:val="000000" w:themeColor="text1"/>
          <w14:textFill>
            <w14:solidFill>
              <w14:schemeClr w14:val="tx1"/>
            </w14:solidFill>
          </w14:textFill>
        </w:rPr>
      </w:pPr>
      <w:bookmarkStart w:id="112" w:name="_Toc73976154"/>
      <w:bookmarkStart w:id="113" w:name="_Toc74035506"/>
      <w:bookmarkStart w:id="114" w:name="_Toc59811669"/>
      <w:r>
        <w:rPr>
          <w:rFonts w:hint="eastAsia" w:ascii="Times New Roman" w:hAnsi="Times New Roman" w:eastAsia="方正黑体简体" w:cs="Times New Roman (标题 CS)"/>
          <w:b w:val="0"/>
          <w:color w:val="000000" w:themeColor="text1"/>
          <w14:textFill>
            <w14:solidFill>
              <w14:schemeClr w14:val="tx1"/>
            </w14:solidFill>
          </w14:textFill>
        </w:rPr>
        <w:t>第三节 推动文化事业与社会文明和谐共进</w:t>
      </w:r>
      <w:bookmarkEnd w:id="112"/>
      <w:bookmarkEnd w:id="113"/>
      <w:bookmarkEnd w:id="114"/>
    </w:p>
    <w:p w14:paraId="3999341F"/>
    <w:p w14:paraId="6C66EE0A">
      <w:pPr>
        <w:pStyle w:val="22"/>
        <w:widowControl w:val="0"/>
        <w:spacing w:before="0" w:beforeAutospacing="0" w:after="0" w:afterAutospacing="0" w:line="590" w:lineRule="exact"/>
        <w:ind w:firstLine="640" w:firstLineChars="200"/>
        <w:jc w:val="both"/>
        <w:rPr>
          <w:rFonts w:ascii="Times New Roman" w:hAnsi="Times New Roman" w:eastAsia="方正仿宋简体" w:cs="仿宋_GB2312"/>
          <w:color w:val="000000" w:themeColor="text1"/>
          <w:kern w:val="2"/>
          <w:sz w:val="32"/>
          <w:szCs w:val="32"/>
          <w14:textFill>
            <w14:solidFill>
              <w14:schemeClr w14:val="tx1"/>
            </w14:solidFill>
          </w14:textFill>
        </w:rPr>
      </w:pPr>
      <w:r>
        <w:rPr>
          <w:rFonts w:hint="eastAsia" w:ascii="Times New Roman" w:hAnsi="Times New Roman" w:eastAsia="方正仿宋简体" w:cs="仿宋_GB2312"/>
          <w:color w:val="000000" w:themeColor="text1"/>
          <w:kern w:val="2"/>
          <w:sz w:val="32"/>
          <w:szCs w:val="32"/>
          <w14:textFill>
            <w14:solidFill>
              <w14:schemeClr w14:val="tx1"/>
            </w14:solidFill>
          </w14:textFill>
        </w:rPr>
        <w:t>以适应互联网时代人民群众多元多样的文化需求为重点，加快构建设施网络化、供给多元化、机制长效化、服务普惠化的现代公共文化服务体系。</w:t>
      </w:r>
    </w:p>
    <w:p w14:paraId="68A1E875">
      <w:pPr>
        <w:pStyle w:val="22"/>
        <w:widowControl w:val="0"/>
        <w:spacing w:before="0" w:beforeAutospacing="0" w:after="0" w:afterAutospacing="0" w:line="590" w:lineRule="exact"/>
        <w:ind w:firstLine="643" w:firstLineChars="200"/>
        <w:jc w:val="both"/>
        <w:rPr>
          <w:rFonts w:ascii="Times New Roman" w:hAnsi="Times New Roman" w:eastAsia="方正仿宋简体" w:cs="仿宋_GB2312"/>
          <w:color w:val="000000" w:themeColor="text1"/>
          <w:sz w:val="32"/>
          <w:szCs w:val="32"/>
          <w14:textFill>
            <w14:solidFill>
              <w14:schemeClr w14:val="tx1"/>
            </w14:solidFill>
          </w14:textFill>
        </w:rPr>
      </w:pPr>
      <w:r>
        <w:rPr>
          <w:rFonts w:hint="eastAsia" w:ascii="Times New Roman" w:hAnsi="Times New Roman" w:eastAsia="方正仿宋简体" w:cs="仿宋_GB2312"/>
          <w:b/>
          <w:color w:val="000000" w:themeColor="text1"/>
          <w:sz w:val="32"/>
          <w:szCs w:val="32"/>
          <w14:textFill>
            <w14:solidFill>
              <w14:schemeClr w14:val="tx1"/>
            </w14:solidFill>
          </w14:textFill>
        </w:rPr>
        <w:t>完善基本公共文化服务网络</w:t>
      </w:r>
      <w:r>
        <w:rPr>
          <w:rFonts w:hint="eastAsia" w:ascii="Times New Roman" w:hAnsi="Times New Roman" w:eastAsia="方正仿宋简体" w:cs="仿宋_GB2312"/>
          <w:color w:val="000000" w:themeColor="text1"/>
          <w:sz w:val="32"/>
          <w:szCs w:val="32"/>
          <w14:textFill>
            <w14:solidFill>
              <w14:schemeClr w14:val="tx1"/>
            </w14:solidFill>
          </w14:textFill>
        </w:rPr>
        <w:t>。按照城市人口发展和分布，合理规划建设各类公共文化设施，精心培育小尺度、易亲近的文化微生态，建成15分钟公共文化服务圈。实施社区综合文化站、百姓书屋、群众文化广场等重大公共文化惠民工程，完善辖区内综合性公共图书馆、文化馆布局建设。深入实施公共数字文化工程，统筹推进全区文化信息资源共享、数字图书馆、博物馆等建设，推动基层公共数字文化服务共建共享。以增强城市文化集聚和辐射功能、实现城市公共文化服务均等化和优质化为目标，建成设施先进、功能齐备、运行高效、服务优质、全覆盖的公共文化服务体系。</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7"/>
      </w:tblGrid>
      <w:tr w14:paraId="22B1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7" w:type="dxa"/>
            <w:shd w:val="clear" w:color="auto" w:fill="auto"/>
          </w:tcPr>
          <w:p w14:paraId="32F1E895">
            <w:pPr>
              <w:pStyle w:val="22"/>
              <w:widowControl w:val="0"/>
              <w:shd w:val="clear" w:color="auto" w:fill="FFFFFF"/>
              <w:spacing w:before="0" w:beforeAutospacing="0" w:after="0" w:afterAutospacing="0"/>
              <w:jc w:val="center"/>
              <w:rPr>
                <w:rFonts w:ascii="Times New Roman" w:hAnsi="Times New Roman" w:eastAsia="方正仿宋简体" w:cs="仿宋"/>
                <w:b/>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t>专栏17 公共服务文化体系建设行动方案</w:t>
            </w:r>
          </w:p>
        </w:tc>
      </w:tr>
      <w:tr w14:paraId="3E1A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7" w:type="dxa"/>
            <w:shd w:val="clear" w:color="auto" w:fill="auto"/>
          </w:tcPr>
          <w:p w14:paraId="6F292B13">
            <w:pPr>
              <w:widowControl w:val="0"/>
              <w:overflowPunct w:val="0"/>
              <w:ind w:right="72" w:rightChars="30" w:firstLine="480"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加强公共服务文化体系建设，进一步加强街道综合文化站和社区文化服务中心的基础设施建设。着力推动融媒体中心建设，构建新型采编流程，建立以内容建设为根本、先进技术为支撑、创新管理为保障的全媒体传播体系。</w:t>
            </w:r>
          </w:p>
          <w:p w14:paraId="223B46B6">
            <w:pPr>
              <w:widowControl w:val="0"/>
              <w:ind w:firstLine="480"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依托国有企业资源，发挥市场机制作用，探索成立文化传播公司，实现“新闻+政务服务商务”运营模式，与融媒体中心联动，参与智慧城市建设，提供政务服务、公共文化服务，不断满足群众需求，增强自我造血机能；走好全媒体时代群众路线，构建群众喜闻乐见的话语体系，及时有效回应群众关切问题。</w:t>
            </w:r>
          </w:p>
          <w:p w14:paraId="0E33C15F">
            <w:pPr>
              <w:widowControl w:val="0"/>
              <w:ind w:firstLine="480" w:firstLineChars="200"/>
              <w:jc w:val="both"/>
              <w:rPr>
                <w:rFonts w:ascii="Times New Roman" w:hAnsi="Times New Roman" w:eastAsia="方正仿宋简体" w:cs="仿宋"/>
                <w:color w:val="000000" w:themeColor="text1"/>
                <w:sz w:val="28"/>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坚持移动优先，打造文化媒体资源库，加强5G、大数据、物联网等新技术在新闻传播领域的应用，深耕“鲤城微事”文化传播品牌；推动主力军挺进网络文化主战场，培养“一专多能”的全媒体文化人才队伍，深化人事制度改革，充分释放文化人才活力。</w:t>
            </w:r>
          </w:p>
        </w:tc>
      </w:tr>
    </w:tbl>
    <w:p w14:paraId="79662A29">
      <w:pPr>
        <w:widowControl w:val="0"/>
        <w:overflowPunct w:val="0"/>
        <w:autoSpaceDE w:val="0"/>
        <w:autoSpaceDN w:val="0"/>
        <w:snapToGrid w:val="0"/>
        <w:spacing w:line="590" w:lineRule="exact"/>
        <w:ind w:firstLine="643" w:firstLineChars="200"/>
        <w:jc w:val="both"/>
        <w:rPr>
          <w:rFonts w:ascii="Times New Roman" w:hAnsi="Times New Roman" w:eastAsia="方正仿宋简体" w:cs="仿宋_GB2312"/>
          <w:color w:val="000000" w:themeColor="text1"/>
          <w:sz w:val="32"/>
          <w:szCs w:val="32"/>
          <w14:textFill>
            <w14:solidFill>
              <w14:schemeClr w14:val="tx1"/>
            </w14:solidFill>
          </w14:textFill>
        </w:rPr>
      </w:pPr>
      <w:bookmarkStart w:id="115" w:name="_Toc47211561"/>
      <w:r>
        <w:rPr>
          <w:rFonts w:hint="eastAsia" w:ascii="Times New Roman" w:hAnsi="Times New Roman" w:eastAsia="方正仿宋简体" w:cs="仿宋_GB2312"/>
          <w:b/>
          <w:color w:val="000000" w:themeColor="text1"/>
          <w:sz w:val="32"/>
          <w:szCs w:val="32"/>
          <w14:textFill>
            <w14:solidFill>
              <w14:schemeClr w14:val="tx1"/>
            </w14:solidFill>
          </w14:textFill>
        </w:rPr>
        <w:t>提供丰富多彩的公共文化产品</w:t>
      </w:r>
      <w:bookmarkEnd w:id="115"/>
      <w:r>
        <w:rPr>
          <w:rFonts w:hint="eastAsia" w:ascii="Times New Roman" w:hAnsi="Times New Roman" w:eastAsia="方正仿宋简体" w:cs="仿宋_GB2312"/>
          <w:b/>
          <w:color w:val="000000" w:themeColor="text1"/>
          <w:sz w:val="32"/>
          <w:szCs w:val="32"/>
          <w14:textFill>
            <w14:solidFill>
              <w14:schemeClr w14:val="tx1"/>
            </w14:solidFill>
          </w14:textFill>
        </w:rPr>
        <w:t>。</w:t>
      </w:r>
      <w:r>
        <w:rPr>
          <w:rFonts w:hint="eastAsia" w:ascii="Times New Roman" w:hAnsi="Times New Roman" w:eastAsia="方正仿宋简体" w:cs="仿宋_GB2312"/>
          <w:color w:val="000000" w:themeColor="text1"/>
          <w:sz w:val="32"/>
          <w:szCs w:val="32"/>
          <w14:textFill>
            <w14:solidFill>
              <w14:schemeClr w14:val="tx1"/>
            </w14:solidFill>
          </w14:textFill>
        </w:rPr>
        <w:t>加强对文化产品创作的引导，创新文化产品、打造特色品牌、拓展服务领域，形成公共文化产品“超市化”供给、“菜单化”服务、“个性化”定制模式。更多地面向外来务工人员、老年人及其他特殊群体提供优质公共文化服务，满足社会群体多层次、多样化的精神文化需求，统筹推进公共文化服务均衡发展。充分整合各类文化资源和文化元素，开展主题文化建设，推出一批思想精深、艺术精湛、制作精良、展现鲤城文化精神、百姓喜闻乐见的艺术精品。提升文化供给，弘扬城市精神“三位一体”，推动城市文脉赓续传承。</w:t>
      </w:r>
    </w:p>
    <w:p w14:paraId="2341B587">
      <w:pPr>
        <w:widowControl w:val="0"/>
        <w:overflowPunct w:val="0"/>
        <w:autoSpaceDE w:val="0"/>
        <w:autoSpaceDN w:val="0"/>
        <w:snapToGrid w:val="0"/>
        <w:spacing w:line="590" w:lineRule="exact"/>
        <w:ind w:firstLine="643" w:firstLineChars="200"/>
        <w:jc w:val="both"/>
        <w:rPr>
          <w:rFonts w:ascii="Times New Roman" w:hAnsi="Times New Roman" w:eastAsia="方正仿宋简体" w:cs="仿宋_GB2312"/>
          <w:color w:val="000000" w:themeColor="text1"/>
          <w:sz w:val="32"/>
          <w:szCs w:val="32"/>
          <w14:textFill>
            <w14:solidFill>
              <w14:schemeClr w14:val="tx1"/>
            </w14:solidFill>
          </w14:textFill>
        </w:rPr>
      </w:pPr>
      <w:bookmarkStart w:id="116" w:name="_Toc47211562"/>
      <w:r>
        <w:rPr>
          <w:rFonts w:hint="eastAsia" w:ascii="Times New Roman" w:hAnsi="Times New Roman" w:eastAsia="方正仿宋简体" w:cs="仿宋_GB2312"/>
          <w:b/>
          <w:color w:val="000000" w:themeColor="text1"/>
          <w:sz w:val="32"/>
          <w:szCs w:val="32"/>
          <w14:textFill>
            <w14:solidFill>
              <w14:schemeClr w14:val="tx1"/>
            </w14:solidFill>
          </w14:textFill>
        </w:rPr>
        <w:t>建设更高水准的文明城市</w:t>
      </w:r>
      <w:bookmarkEnd w:id="116"/>
      <w:r>
        <w:rPr>
          <w:rFonts w:hint="eastAsia" w:ascii="Times New Roman" w:hAnsi="Times New Roman" w:eastAsia="方正仿宋简体" w:cs="仿宋_GB2312"/>
          <w:b/>
          <w:color w:val="000000" w:themeColor="text1"/>
          <w:sz w:val="32"/>
          <w:szCs w:val="32"/>
          <w14:textFill>
            <w14:solidFill>
              <w14:schemeClr w14:val="tx1"/>
            </w14:solidFill>
          </w14:textFill>
        </w:rPr>
        <w:t>（区）。</w:t>
      </w:r>
      <w:r>
        <w:rPr>
          <w:rFonts w:hint="eastAsia" w:ascii="Times New Roman" w:hAnsi="Times New Roman" w:eastAsia="方正仿宋简体" w:cs="仿宋_GB2312"/>
          <w:color w:val="000000" w:themeColor="text1"/>
          <w:sz w:val="32"/>
          <w:szCs w:val="32"/>
          <w14:textFill>
            <w14:solidFill>
              <w14:schemeClr w14:val="tx1"/>
            </w14:solidFill>
          </w14:textFill>
        </w:rPr>
        <w:t>贯彻落实新时代公民道德建设实施纲要，推动社会主义核心价值观落细落小落实。以社会主义核心价值体系建设为主线，落实“扣好人生第一粒扣子”等主题教育实践活动，引导中小学生和广大未成年人树立和践行社会主义核心价值观，进一步完善社会教育，努力培育时代新人。持续深化公民思想道德建设，持续开展基层基础创建活动，持续推动学雷锋志愿服务活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9"/>
      </w:tblGrid>
      <w:tr w14:paraId="546C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9" w:type="dxa"/>
            <w:shd w:val="clear" w:color="auto" w:fill="auto"/>
          </w:tcPr>
          <w:p w14:paraId="46815ABF">
            <w:pPr>
              <w:pStyle w:val="22"/>
              <w:widowControl w:val="0"/>
              <w:shd w:val="clear" w:color="auto" w:fill="FFFFFF"/>
              <w:spacing w:before="0" w:beforeAutospacing="0" w:after="0" w:afterAutospacing="0"/>
              <w:jc w:val="center"/>
              <w:rPr>
                <w:rFonts w:ascii="Times New Roman" w:hAnsi="Times New Roman" w:eastAsia="方正仿宋简体" w:cs="仿宋"/>
                <w:b/>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t>专栏18 文明城市（区）创建重点工作</w:t>
            </w:r>
          </w:p>
        </w:tc>
      </w:tr>
      <w:tr w14:paraId="5ACC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9" w:type="dxa"/>
            <w:shd w:val="clear" w:color="auto" w:fill="auto"/>
          </w:tcPr>
          <w:p w14:paraId="0E7EE679">
            <w:pPr>
              <w:widowControl w:val="0"/>
              <w:overflowPunct w:val="0"/>
              <w:ind w:right="72" w:rightChars="30" w:firstLine="480" w:firstLineChars="200"/>
              <w:jc w:val="both"/>
              <w:rPr>
                <w:rFonts w:ascii="Times New Roman" w:hAnsi="Times New Roman" w:eastAsia="方正仿宋简体" w:cs="仿宋"/>
                <w:color w:val="000000" w:themeColor="text1"/>
                <w:sz w:val="28"/>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以争创省级文明城市（区）为目标，持续深化各类精神文明创建主题教育实践活动，提升市民文明素质。推进文明城市（区）创建长效常态化建设，巩固和扩大文明城市（区）创建成果，持续提升城市（区）文明水平。着力解决群众反映强烈的突出问题，深化文明单位、文明校园、文明社区、军民融合等基层单位创建工作，力争建设更多全国文明单位、省级文明单位（校园、社区）。</w:t>
            </w:r>
          </w:p>
        </w:tc>
      </w:tr>
      <w:bookmarkEnd w:id="50"/>
      <w:bookmarkEnd w:id="51"/>
    </w:tbl>
    <w:p w14:paraId="3CE09CD1">
      <w:pPr>
        <w:pStyle w:val="2"/>
        <w:spacing w:before="211" w:beforeLines="50" w:after="211" w:afterLines="50" w:line="580" w:lineRule="exact"/>
        <w:ind w:firstLine="0" w:firstLineChars="0"/>
        <w:jc w:val="center"/>
        <w:rPr>
          <w:rFonts w:ascii="Times New Roman" w:hAnsi="Times New Roman" w:eastAsia="方正仿宋简体"/>
          <w:b w:val="0"/>
          <w:bCs/>
          <w:color w:val="000000" w:themeColor="text1"/>
          <w:sz w:val="36"/>
          <w14:textFill>
            <w14:solidFill>
              <w14:schemeClr w14:val="tx1"/>
            </w14:solidFill>
          </w14:textFill>
        </w:rPr>
        <w:sectPr>
          <w:pgSz w:w="11900" w:h="16840"/>
          <w:pgMar w:top="1928" w:right="1474" w:bottom="1701" w:left="1588" w:header="851" w:footer="992" w:gutter="0"/>
          <w:cols w:space="425" w:num="1"/>
          <w:docGrid w:type="lines" w:linePitch="423" w:charSpace="0"/>
        </w:sectPr>
      </w:pPr>
    </w:p>
    <w:p w14:paraId="5DBC25A1">
      <w:pPr>
        <w:pStyle w:val="2"/>
        <w:overflowPunct w:val="0"/>
        <w:spacing w:after="0" w:line="570" w:lineRule="exact"/>
        <w:ind w:firstLine="0" w:firstLineChars="0"/>
        <w:jc w:val="center"/>
        <w:rPr>
          <w:rFonts w:ascii="Times New Roman" w:hAnsi="Times New Roman"/>
          <w:b w:val="0"/>
          <w:bCs/>
          <w:color w:val="000000" w:themeColor="text1"/>
          <w:sz w:val="36"/>
          <w14:textFill>
            <w14:solidFill>
              <w14:schemeClr w14:val="tx1"/>
            </w14:solidFill>
          </w14:textFill>
        </w:rPr>
      </w:pPr>
      <w:bookmarkStart w:id="117" w:name="_Toc74035507"/>
      <w:bookmarkStart w:id="118" w:name="_Toc73976155"/>
      <w:bookmarkStart w:id="119" w:name="_Toc59811670"/>
      <w:r>
        <w:rPr>
          <w:rFonts w:hint="eastAsia" w:ascii="Times New Roman" w:hAnsi="Times New Roman"/>
          <w:b w:val="0"/>
          <w:bCs/>
          <w:color w:val="000000" w:themeColor="text1"/>
          <w:sz w:val="36"/>
          <w14:textFill>
            <w14:solidFill>
              <w14:schemeClr w14:val="tx1"/>
            </w14:solidFill>
          </w14:textFill>
        </w:rPr>
        <w:t>第七章 统筹发展，全力提升城市品质内涵</w:t>
      </w:r>
      <w:bookmarkEnd w:id="117"/>
      <w:bookmarkEnd w:id="118"/>
      <w:bookmarkEnd w:id="119"/>
    </w:p>
    <w:p w14:paraId="6F6E39F8">
      <w:pPr>
        <w:spacing w:line="570" w:lineRule="exact"/>
      </w:pPr>
    </w:p>
    <w:p w14:paraId="60C72C0E">
      <w:pPr>
        <w:widowControl w:val="0"/>
        <w:overflowPunct w:val="0"/>
        <w:spacing w:line="57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坚持高起点规划、高标准建设、高质量配套，进一步完善各类基础设施和功能性载体，大力改善城市品质和整体面貌，提升城市综合功能，全面推进区域城市化进程。</w:t>
      </w:r>
    </w:p>
    <w:p w14:paraId="59438AF9">
      <w:pPr>
        <w:widowControl w:val="0"/>
        <w:overflowPunct w:val="0"/>
        <w:spacing w:line="57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p>
    <w:p w14:paraId="4C9A2D53">
      <w:pPr>
        <w:pStyle w:val="3"/>
        <w:keepNext w:val="0"/>
        <w:keepLines w:val="0"/>
        <w:overflowPunct w:val="0"/>
        <w:spacing w:before="0" w:after="0" w:line="570" w:lineRule="exact"/>
        <w:jc w:val="center"/>
        <w:rPr>
          <w:rFonts w:ascii="黑体" w:hAnsi="黑体" w:eastAsia="黑体" w:cs="Times New Roman (标题 CS)"/>
          <w:b w:val="0"/>
          <w:color w:val="000000" w:themeColor="text1"/>
          <w14:textFill>
            <w14:solidFill>
              <w14:schemeClr w14:val="tx1"/>
            </w14:solidFill>
          </w14:textFill>
        </w:rPr>
      </w:pPr>
      <w:bookmarkStart w:id="120" w:name="_Toc74035508"/>
      <w:bookmarkStart w:id="121" w:name="_Toc59811671"/>
      <w:bookmarkStart w:id="122" w:name="_Toc73976156"/>
      <w:r>
        <w:rPr>
          <w:rFonts w:hint="eastAsia" w:ascii="黑体" w:hAnsi="黑体" w:eastAsia="黑体" w:cs="Times New Roman (标题 CS)"/>
          <w:b w:val="0"/>
          <w:color w:val="000000" w:themeColor="text1"/>
          <w14:textFill>
            <w14:solidFill>
              <w14:schemeClr w14:val="tx1"/>
            </w14:solidFill>
          </w14:textFill>
        </w:rPr>
        <w:t>第一节 完善交通运输网络布局体系</w:t>
      </w:r>
      <w:bookmarkEnd w:id="120"/>
      <w:bookmarkEnd w:id="121"/>
      <w:bookmarkEnd w:id="122"/>
    </w:p>
    <w:p w14:paraId="4A908E18">
      <w:pPr>
        <w:spacing w:line="570" w:lineRule="exact"/>
      </w:pPr>
    </w:p>
    <w:p w14:paraId="6A4455DC">
      <w:pPr>
        <w:widowControl w:val="0"/>
        <w:overflowPunct w:val="0"/>
        <w:spacing w:line="57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不断优化对外交通道路，补全生活性路网结构，加快城市交通路网的拓展延伸，完善公共出行交通体系，实现从产业服务型交通、生活服务型交通向综合服务型交通转变。</w:t>
      </w:r>
    </w:p>
    <w:p w14:paraId="70F27E58">
      <w:pPr>
        <w:widowControl w:val="0"/>
        <w:overflowPunct w:val="0"/>
        <w:spacing w:line="57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完善城市路网结构。</w:t>
      </w:r>
      <w:r>
        <w:rPr>
          <w:rFonts w:hint="eastAsia" w:ascii="Times New Roman" w:hAnsi="Times New Roman" w:eastAsia="方正仿宋简体"/>
          <w:color w:val="000000" w:themeColor="text1"/>
          <w:sz w:val="32"/>
          <w:szCs w:val="32"/>
          <w14:textFill>
            <w14:solidFill>
              <w14:schemeClr w14:val="tx1"/>
            </w14:solidFill>
          </w14:textFill>
        </w:rPr>
        <w:t>对接泉州“聚城畅通”工程，融入“一环湾、中环城、高快一体、多向放射”布局，加快建设各类快速路及相关道路配套设施，提高进出城交通效率，完善城市路网结构，提升城市道路承载通行能力，构建“环湾融合、区域畅达、组团快联”的对内对外交通体系。结合生态修复、城市修补，完善古城道路建设，研究区域单行系统建设，疏通城市道路的“毛细血管”，改善街坊及居住区道路系统，扩展交通空间，提高通行性，集中、连片改善区域交通。江南新区内通过中环城（站前大道、池峰路）建设融入环湾交通体系，内部规划形成“十”字型快速路骨架。强化片区结合路网衔接，促进片区间融合发展，将创新路北延伸接入江滨南路，繁荣路西延伸接入创新路，洪霞路主线与奉新路衔接，内部形成“六纵六横”干路网。</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5"/>
      </w:tblGrid>
      <w:tr w14:paraId="6CB9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5" w:type="dxa"/>
            <w:shd w:val="clear" w:color="auto" w:fill="auto"/>
          </w:tcPr>
          <w:p w14:paraId="7B7D6C55">
            <w:pPr>
              <w:pStyle w:val="22"/>
              <w:widowControl w:val="0"/>
              <w:shd w:val="clear" w:color="auto" w:fill="FFFFFF"/>
              <w:spacing w:before="0" w:beforeAutospacing="0" w:after="0" w:afterAutospacing="0"/>
              <w:jc w:val="center"/>
              <w:rPr>
                <w:rFonts w:ascii="Times New Roman" w:hAnsi="Times New Roman" w:eastAsia="方正仿宋简体" w:cs="仿宋"/>
                <w:b/>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t>专栏19 交通路网提升工程</w:t>
            </w:r>
          </w:p>
        </w:tc>
      </w:tr>
      <w:tr w14:paraId="03D9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5" w:type="dxa"/>
            <w:shd w:val="clear" w:color="auto" w:fill="auto"/>
          </w:tcPr>
          <w:p w14:paraId="16CA8EB4">
            <w:pPr>
              <w:widowControl w:val="0"/>
              <w:snapToGrid w:val="0"/>
              <w:ind w:firstLine="562"/>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“十”字型快速路骨架：</w:t>
            </w:r>
            <w:r>
              <w:rPr>
                <w:rFonts w:hint="eastAsia" w:ascii="Times New Roman" w:hAnsi="Times New Roman" w:eastAsia="方正仿宋简体" w:cs="仿宋"/>
                <w:color w:val="000000" w:themeColor="text1"/>
                <w:szCs w:val="32"/>
                <w14:textFill>
                  <w14:solidFill>
                    <w14:schemeClr w14:val="tx1"/>
                  </w14:solidFill>
                </w14:textFill>
              </w:rPr>
              <w:t>“一纵”为站前大道-泉南高速，“一横”为池峰路-南环路。</w:t>
            </w:r>
          </w:p>
          <w:p w14:paraId="02C16438">
            <w:pPr>
              <w:widowControl w:val="0"/>
              <w:snapToGrid w:val="0"/>
              <w:ind w:firstLine="562"/>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“六纵六横”干路网：</w:t>
            </w:r>
            <w:r>
              <w:rPr>
                <w:rFonts w:hint="eastAsia" w:ascii="Times New Roman" w:hAnsi="Times New Roman" w:eastAsia="方正仿宋简体" w:cs="仿宋"/>
                <w:color w:val="000000" w:themeColor="text1"/>
                <w:szCs w:val="32"/>
                <w14:textFill>
                  <w14:solidFill>
                    <w14:schemeClr w14:val="tx1"/>
                  </w14:solidFill>
                </w14:textFill>
              </w:rPr>
              <w:t>“六纵”分别为创新路、常泰路、田中大道、延陵大道、笋江路、火炬路；“六横”分别为江滨南路、繁荣路、奉新路、江南大街、南环路、洪霞路。</w:t>
            </w:r>
          </w:p>
          <w:p w14:paraId="390CB9E1">
            <w:pPr>
              <w:widowControl w:val="0"/>
              <w:snapToGrid w:val="0"/>
              <w:ind w:firstLine="562"/>
              <w:jc w:val="both"/>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交通路网建设重大项目：</w:t>
            </w:r>
          </w:p>
          <w:p w14:paraId="10E45F6D">
            <w:pPr>
              <w:widowControl w:val="0"/>
              <w:snapToGrid w:val="0"/>
              <w:ind w:firstLine="562"/>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（1）站前大道K2地块配套市政道路工程：</w:t>
            </w:r>
            <w:r>
              <w:rPr>
                <w:rFonts w:hint="eastAsia" w:ascii="Times New Roman" w:hAnsi="Times New Roman" w:eastAsia="方正仿宋简体" w:cs="仿宋"/>
                <w:color w:val="000000" w:themeColor="text1"/>
                <w:szCs w:val="32"/>
                <w14:textFill>
                  <w14:solidFill>
                    <w14:schemeClr w14:val="tx1"/>
                  </w14:solidFill>
                </w14:textFill>
              </w:rPr>
              <w:t>站前大道K2地块（西侧、南侧）配套市政道路工程包括西侧道路和南侧道路，总长688米，宽度18米，建设市政配套工程。打通站前大道西侧K2地块（世茂云</w:t>
            </w:r>
            <w:r>
              <w:rPr>
                <w:rFonts w:hint="eastAsia" w:ascii="Times New Roman" w:hAnsi="Times New Roman" w:eastAsia="仿宋" w:cs="仿宋"/>
                <w:color w:val="000000" w:themeColor="text1"/>
                <w:szCs w:val="32"/>
                <w14:textFill>
                  <w14:solidFill>
                    <w14:schemeClr w14:val="tx1"/>
                  </w14:solidFill>
                </w14:textFill>
              </w:rPr>
              <w:t>璟</w:t>
            </w:r>
            <w:r>
              <w:rPr>
                <w:rFonts w:hint="eastAsia" w:ascii="Times New Roman" w:hAnsi="Times New Roman" w:eastAsia="方正仿宋简体" w:cs="仿宋"/>
                <w:color w:val="000000" w:themeColor="text1"/>
                <w:szCs w:val="32"/>
                <w14:textFill>
                  <w14:solidFill>
                    <w14:schemeClr w14:val="tx1"/>
                  </w14:solidFill>
                </w14:textFill>
              </w:rPr>
              <w:t>）至江南大街断头路，长约230米，宽18米。</w:t>
            </w:r>
          </w:p>
          <w:p w14:paraId="1551C1D2">
            <w:pPr>
              <w:widowControl w:val="0"/>
              <w:snapToGrid w:val="0"/>
              <w:ind w:firstLine="562"/>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（2）站前大道鲤城段（南环路至池峰路）道路工程：</w:t>
            </w:r>
            <w:r>
              <w:rPr>
                <w:rFonts w:hint="eastAsia" w:ascii="Times New Roman" w:hAnsi="Times New Roman" w:eastAsia="方正仿宋简体" w:cs="仿宋"/>
                <w:color w:val="000000" w:themeColor="text1"/>
                <w:szCs w:val="32"/>
                <w14:textFill>
                  <w14:solidFill>
                    <w14:schemeClr w14:val="tx1"/>
                  </w14:solidFill>
                </w14:textFill>
              </w:rPr>
              <w:t>长度约2088米，宽度60米，市政</w:t>
            </w:r>
            <w:r>
              <w:rPr>
                <w:rFonts w:hint="eastAsia" w:ascii="Times New Roman" w:hAnsi="Times New Roman" w:eastAsia="方正仿宋简体"/>
                <w:color w:val="000000" w:themeColor="text1"/>
                <w:szCs w:val="32"/>
                <w14:textFill>
                  <w14:solidFill>
                    <w14:schemeClr w14:val="tx1"/>
                  </w14:solidFill>
                </w14:textFill>
              </w:rPr>
              <w:t>Ⅰ</w:t>
            </w:r>
            <w:r>
              <w:rPr>
                <w:rFonts w:hint="eastAsia" w:ascii="Times New Roman" w:hAnsi="Times New Roman" w:eastAsia="方正仿宋简体" w:cs="仿宋"/>
                <w:color w:val="000000" w:themeColor="text1"/>
                <w:szCs w:val="32"/>
                <w14:textFill>
                  <w14:solidFill>
                    <w14:schemeClr w14:val="tx1"/>
                  </w14:solidFill>
                </w14:textFill>
              </w:rPr>
              <w:t>级主干道。</w:t>
            </w:r>
          </w:p>
          <w:p w14:paraId="02961992">
            <w:pPr>
              <w:widowControl w:val="0"/>
              <w:overflowPunct w:val="0"/>
              <w:ind w:right="72" w:rightChars="30" w:firstLine="48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（3）泉州古城交通疏解快速通道项目：</w:t>
            </w:r>
            <w:r>
              <w:rPr>
                <w:rFonts w:hint="eastAsia" w:ascii="Times New Roman" w:hAnsi="Times New Roman" w:eastAsia="方正仿宋简体" w:cs="仿宋"/>
                <w:color w:val="000000" w:themeColor="text1"/>
                <w:szCs w:val="32"/>
                <w14:textFill>
                  <w14:solidFill>
                    <w14:schemeClr w14:val="tx1"/>
                  </w14:solidFill>
                </w14:textFill>
              </w:rPr>
              <w:t>建设内容包括：</w:t>
            </w:r>
            <w:r>
              <w:rPr>
                <w:rFonts w:hint="eastAsia" w:ascii="Times New Roman" w:hAnsi="Times New Roman" w:eastAsia="方正仿宋简体" w:cs="Cambria Math"/>
                <w:color w:val="000000" w:themeColor="text1"/>
                <w:szCs w:val="32"/>
                <w14:textFill>
                  <w14:solidFill>
                    <w14:schemeClr w14:val="tx1"/>
                  </w14:solidFill>
                </w14:textFill>
              </w:rPr>
              <w:t>①</w:t>
            </w:r>
            <w:r>
              <w:rPr>
                <w:rFonts w:hint="eastAsia" w:ascii="Times New Roman" w:hAnsi="Times New Roman" w:eastAsia="方正仿宋简体" w:cs="仿宋"/>
                <w:color w:val="000000" w:themeColor="text1"/>
                <w:szCs w:val="32"/>
                <w14:textFill>
                  <w14:solidFill>
                    <w14:schemeClr w14:val="tx1"/>
                  </w14:solidFill>
                </w14:textFill>
              </w:rPr>
              <w:t>新建延陵大桥（全长约2公里）、田中大桥（全长约2公里）；</w:t>
            </w:r>
            <w:r>
              <w:rPr>
                <w:rFonts w:hint="eastAsia" w:ascii="Times New Roman" w:hAnsi="Times New Roman" w:eastAsia="方正仿宋简体" w:cs="Cambria Math"/>
                <w:color w:val="000000" w:themeColor="text1"/>
                <w:szCs w:val="32"/>
                <w14:textFill>
                  <w14:solidFill>
                    <w14:schemeClr w14:val="tx1"/>
                  </w14:solidFill>
                </w14:textFill>
              </w:rPr>
              <w:t>②</w:t>
            </w:r>
            <w:r>
              <w:rPr>
                <w:rFonts w:hint="eastAsia" w:ascii="Times New Roman" w:hAnsi="Times New Roman" w:eastAsia="方正仿宋简体" w:cs="仿宋"/>
                <w:color w:val="000000" w:themeColor="text1"/>
                <w:szCs w:val="32"/>
                <w14:textFill>
                  <w14:solidFill>
                    <w14:schemeClr w14:val="tx1"/>
                  </w14:solidFill>
                </w14:textFill>
              </w:rPr>
              <w:t>泉州大桥拓改工程（全长约2公里）；</w:t>
            </w:r>
            <w:r>
              <w:rPr>
                <w:rFonts w:hint="eastAsia" w:ascii="Times New Roman" w:hAnsi="Times New Roman" w:eastAsia="方正仿宋简体" w:cs="Cambria Math"/>
                <w:color w:val="000000" w:themeColor="text1"/>
                <w:szCs w:val="32"/>
                <w14:textFill>
                  <w14:solidFill>
                    <w14:schemeClr w14:val="tx1"/>
                  </w14:solidFill>
                </w14:textFill>
              </w:rPr>
              <w:t>③</w:t>
            </w:r>
            <w:r>
              <w:rPr>
                <w:rFonts w:hint="eastAsia" w:ascii="Times New Roman" w:hAnsi="Times New Roman" w:eastAsia="方正仿宋简体" w:cs="仿宋"/>
                <w:color w:val="000000" w:themeColor="text1"/>
                <w:szCs w:val="32"/>
                <w14:textFill>
                  <w14:solidFill>
                    <w14:schemeClr w14:val="tx1"/>
                  </w14:solidFill>
                </w14:textFill>
              </w:rPr>
              <w:t>站前大道鲤城段（南环路至池峰路）道路工程长度约2公里，市政</w:t>
            </w:r>
            <w:r>
              <w:rPr>
                <w:rFonts w:hint="eastAsia" w:ascii="Times New Roman" w:hAnsi="Times New Roman" w:eastAsia="方正仿宋简体"/>
                <w:color w:val="000000" w:themeColor="text1"/>
                <w:szCs w:val="32"/>
                <w14:textFill>
                  <w14:solidFill>
                    <w14:schemeClr w14:val="tx1"/>
                  </w14:solidFill>
                </w14:textFill>
              </w:rPr>
              <w:t>Ⅰ</w:t>
            </w:r>
            <w:r>
              <w:rPr>
                <w:rFonts w:hint="eastAsia" w:ascii="Times New Roman" w:hAnsi="Times New Roman" w:eastAsia="方正仿宋简体" w:cs="仿宋"/>
                <w:color w:val="000000" w:themeColor="text1"/>
                <w:szCs w:val="32"/>
                <w14:textFill>
                  <w14:solidFill>
                    <w14:schemeClr w14:val="tx1"/>
                  </w14:solidFill>
                </w14:textFill>
              </w:rPr>
              <w:t>级主干道；</w:t>
            </w:r>
            <w:r>
              <w:rPr>
                <w:rFonts w:hint="eastAsia" w:ascii="Times New Roman" w:hAnsi="Times New Roman" w:eastAsia="方正仿宋简体" w:cs="Cambria Math"/>
                <w:color w:val="000000" w:themeColor="text1"/>
                <w:szCs w:val="32"/>
                <w14:textFill>
                  <w14:solidFill>
                    <w14:schemeClr w14:val="tx1"/>
                  </w14:solidFill>
                </w14:textFill>
              </w:rPr>
              <w:t>④</w:t>
            </w:r>
            <w:r>
              <w:rPr>
                <w:rFonts w:hint="eastAsia" w:ascii="Times New Roman" w:hAnsi="Times New Roman" w:eastAsia="方正仿宋简体" w:cs="仿宋"/>
                <w:color w:val="000000" w:themeColor="text1"/>
                <w:szCs w:val="32"/>
                <w14:textFill>
                  <w14:solidFill>
                    <w14:schemeClr w14:val="tx1"/>
                  </w14:solidFill>
                </w14:textFill>
              </w:rPr>
              <w:t>江滨南路拓改工程（双向4车道拓宽为6车道）；</w:t>
            </w:r>
            <w:r>
              <w:rPr>
                <w:rFonts w:hint="eastAsia" w:ascii="Times New Roman" w:hAnsi="Times New Roman" w:eastAsia="方正仿宋简体" w:cs="Cambria Math"/>
                <w:color w:val="000000" w:themeColor="text1"/>
                <w:szCs w:val="32"/>
                <w14:textFill>
                  <w14:solidFill>
                    <w14:schemeClr w14:val="tx1"/>
                  </w14:solidFill>
                </w14:textFill>
              </w:rPr>
              <w:t>⑤</w:t>
            </w:r>
            <w:r>
              <w:rPr>
                <w:rFonts w:hint="eastAsia" w:ascii="Times New Roman" w:hAnsi="Times New Roman" w:eastAsia="方正仿宋简体" w:cs="仿宋"/>
                <w:color w:val="000000" w:themeColor="text1"/>
                <w:szCs w:val="32"/>
                <w14:textFill>
                  <w14:solidFill>
                    <w14:schemeClr w14:val="tx1"/>
                  </w14:solidFill>
                </w14:textFill>
              </w:rPr>
              <w:t>泉州高速古城新设高速出口（江南片区段）。</w:t>
            </w:r>
          </w:p>
          <w:p w14:paraId="75A14936">
            <w:pPr>
              <w:widowControl w:val="0"/>
              <w:overflowPunct w:val="0"/>
              <w:ind w:right="72" w:rightChars="30" w:firstLine="48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Cs w:val="32"/>
                <w14:textFill>
                  <w14:solidFill>
                    <w14:schemeClr w14:val="tx1"/>
                  </w14:solidFill>
                </w14:textFill>
              </w:rPr>
              <w:t>（4）鲤城林荫大道（笋江路至浮桥街）项目</w:t>
            </w:r>
            <w:r>
              <w:rPr>
                <w:rFonts w:hint="eastAsia" w:ascii="Times New Roman" w:hAnsi="Times New Roman" w:eastAsia="方正仿宋简体" w:cs="仿宋"/>
                <w:color w:val="000000" w:themeColor="text1"/>
                <w:szCs w:val="32"/>
                <w14:textFill>
                  <w14:solidFill>
                    <w14:schemeClr w14:val="tx1"/>
                  </w14:solidFill>
                </w14:textFill>
              </w:rPr>
              <w:t>：道路规划宽度34米，总长约1.25公里，道路等级为城市次干道。建设内容包括路基、路面、管网、标志标线、人行道和道路绿化等。</w:t>
            </w:r>
          </w:p>
        </w:tc>
      </w:tr>
    </w:tbl>
    <w:p w14:paraId="2AA840C9">
      <w:pPr>
        <w:widowControl w:val="0"/>
        <w:overflowPunct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完善城市慢行系统。</w:t>
      </w:r>
      <w:r>
        <w:rPr>
          <w:rFonts w:hint="eastAsia" w:ascii="Times New Roman" w:hAnsi="Times New Roman" w:eastAsia="方正仿宋简体"/>
          <w:color w:val="000000" w:themeColor="text1"/>
          <w:sz w:val="32"/>
          <w:szCs w:val="32"/>
          <w14:textFill>
            <w14:solidFill>
              <w14:schemeClr w14:val="tx1"/>
            </w14:solidFill>
          </w14:textFill>
        </w:rPr>
        <w:t>编制慢行系统发展规划，合理规划和完善人行道、人行过街设施，加强步行、自行车交通系统与居住区、公交枢纽、重要文体和商业等公共设施的无缝衔接，完善照明、标识设施，形成连续、系统的城市步行系统。扩展城市慢行通道，依托晋江两岸生态景观，打造绿色的滨江慢行道路，同时加强“区、街道、社区”三级绿道网络的贯通和连接。结合城市更新项目，打通各重点功能区、核心商圈、公共开放空间之间的道路节点，形成连续便捷的区域过街道路网络，疏解笋江路五岔路交通堵点。有序推动西街南片区旅游核心区慢行系统、居民骑行环境畅通工程等一批慢行步道和休闲廊道建设。</w:t>
      </w:r>
    </w:p>
    <w:p w14:paraId="46E0CA98">
      <w:pPr>
        <w:pStyle w:val="22"/>
        <w:widowControl w:val="0"/>
        <w:shd w:val="clear" w:color="auto" w:fill="FFFFFF"/>
        <w:overflowPunct w:val="0"/>
        <w:spacing w:before="0" w:beforeAutospacing="0" w:after="0" w:afterAutospacing="0"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完善公共交通设施体系</w:t>
      </w:r>
      <w:r>
        <w:rPr>
          <w:rFonts w:hint="eastAsia" w:ascii="Times New Roman" w:hAnsi="Times New Roman" w:eastAsia="方正仿宋简体"/>
          <w:color w:val="000000" w:themeColor="text1"/>
          <w:sz w:val="32"/>
          <w:szCs w:val="32"/>
          <w14:textFill>
            <w14:solidFill>
              <w14:schemeClr w14:val="tx1"/>
            </w14:solidFill>
          </w14:textFill>
        </w:rPr>
        <w:t>。坚持把发展公共交通作为解决城市交通拥堵问题的根本出路。优化公共交通线路，加强公共交通专用道规划力度，构建公共交通快速通勤系统。加快建设一体化、集约型的公共交通枢纽，优化节点衔接，改善公共交通站点出入口与公共建筑、住宅小区的连接，推广通勤班车、商务班车等定制公共交通，加开点对点通勤公共交通线路，提高公共交通出行效率。</w:t>
      </w:r>
    </w:p>
    <w:p w14:paraId="08E2939E">
      <w:pPr>
        <w:pStyle w:val="22"/>
        <w:widowControl w:val="0"/>
        <w:shd w:val="clear" w:color="auto" w:fill="FFFFFF"/>
        <w:overflowPunct w:val="0"/>
        <w:spacing w:before="0" w:beforeAutospacing="0" w:after="0" w:afterAutospacing="0"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p>
    <w:p w14:paraId="257ECE88">
      <w:pPr>
        <w:pStyle w:val="3"/>
        <w:keepNext w:val="0"/>
        <w:keepLines w:val="0"/>
        <w:overflowPunct w:val="0"/>
        <w:spacing w:before="0" w:after="0" w:line="590" w:lineRule="exact"/>
        <w:jc w:val="center"/>
        <w:rPr>
          <w:rFonts w:ascii="Times New Roman" w:hAnsi="Times New Roman" w:eastAsia="方正黑体简体" w:cs="Times New Roman (标题 CS)"/>
          <w:b w:val="0"/>
          <w:color w:val="000000" w:themeColor="text1"/>
          <w14:textFill>
            <w14:solidFill>
              <w14:schemeClr w14:val="tx1"/>
            </w14:solidFill>
          </w14:textFill>
        </w:rPr>
      </w:pPr>
      <w:bookmarkStart w:id="123" w:name="_Toc59811672"/>
      <w:bookmarkStart w:id="124" w:name="_Toc73976157"/>
      <w:bookmarkStart w:id="125" w:name="_Toc74035509"/>
      <w:r>
        <w:rPr>
          <w:rFonts w:hint="eastAsia" w:ascii="Times New Roman" w:hAnsi="Times New Roman" w:eastAsia="方正黑体简体" w:cs="Times New Roman (标题 CS)"/>
          <w:b w:val="0"/>
          <w:color w:val="000000" w:themeColor="text1"/>
          <w14:textFill>
            <w14:solidFill>
              <w14:schemeClr w14:val="tx1"/>
            </w14:solidFill>
          </w14:textFill>
        </w:rPr>
        <w:t>第二节 提升市政基础设施建设水平</w:t>
      </w:r>
      <w:bookmarkEnd w:id="123"/>
      <w:bookmarkEnd w:id="124"/>
      <w:bookmarkEnd w:id="125"/>
    </w:p>
    <w:p w14:paraId="60E295FE"/>
    <w:p w14:paraId="6AA7782E">
      <w:pPr>
        <w:widowControl w:val="0"/>
        <w:overflowPunct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以提升城市综合承载力为核心，推进城市停车设施、供水供电网络、垃圾污水处理设施、地下综合管廊建设，提高城市综合</w:t>
      </w:r>
      <w:r>
        <w:rPr>
          <w:rFonts w:hint="eastAsia" w:ascii="Times New Roman" w:hAnsi="Times New Roman" w:eastAsia="方正仿宋简体"/>
          <w:color w:val="000000" w:themeColor="text1"/>
          <w:spacing w:val="-6"/>
          <w:sz w:val="32"/>
          <w:szCs w:val="32"/>
          <w14:textFill>
            <w14:solidFill>
              <w14:schemeClr w14:val="tx1"/>
            </w14:solidFill>
          </w14:textFill>
        </w:rPr>
        <w:t>市政设施水平，提高城市运行效率，进一步提升城市品质和宜居度</w:t>
      </w:r>
      <w:r>
        <w:rPr>
          <w:rFonts w:hint="eastAsia" w:ascii="Times New Roman" w:hAnsi="Times New Roman" w:eastAsia="方正仿宋简体"/>
          <w:color w:val="000000" w:themeColor="text1"/>
          <w:sz w:val="32"/>
          <w:szCs w:val="32"/>
          <w14:textFill>
            <w14:solidFill>
              <w14:schemeClr w14:val="tx1"/>
            </w14:solidFill>
          </w14:textFill>
        </w:rPr>
        <w:t>。</w:t>
      </w:r>
    </w:p>
    <w:p w14:paraId="698506C7">
      <w:pPr>
        <w:pStyle w:val="22"/>
        <w:widowControl w:val="0"/>
        <w:shd w:val="clear" w:color="auto" w:fill="FFFFFF"/>
        <w:overflowPunct w:val="0"/>
        <w:spacing w:before="0" w:beforeAutospacing="0" w:after="0" w:afterAutospacing="0"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加强停车设施规划建设。</w:t>
      </w:r>
      <w:r>
        <w:rPr>
          <w:rFonts w:hint="eastAsia" w:ascii="Times New Roman" w:hAnsi="Times New Roman" w:eastAsia="方正仿宋简体"/>
          <w:color w:val="000000" w:themeColor="text1"/>
          <w:sz w:val="32"/>
          <w:szCs w:val="32"/>
          <w14:textFill>
            <w14:solidFill>
              <w14:schemeClr w14:val="tx1"/>
            </w14:solidFill>
          </w14:textFill>
        </w:rPr>
        <w:t>严格规范停车配建管理，推进停车挖潜建设，形成更加科学合理的停车布局。重点加强医院、景点、老旧小区等区域立体化停车设施建设，合理利用公共交通场站立体空间和道路桥下资源增设停车场，努力增加停车资源供给。加快启动平水庙智能停车管理综合体项目，建设智慧化停车系统设施，打造鲤城停车指挥调度中心。加强停车需求管理，积极运用大数据手段，加强停车信息化建设，推进停车收费电子化和监管智能化，创新停车管理模式，发布停车诱导动态信息，提高停车资源利用效率。稳步推进公共充电桩建设，提倡绿色出行。</w:t>
      </w:r>
    </w:p>
    <w:p w14:paraId="7A99B817">
      <w:pPr>
        <w:widowControl w:val="0"/>
        <w:overflowPunct w:val="0"/>
        <w:autoSpaceDE w:val="0"/>
        <w:autoSpaceDN w:val="0"/>
        <w:snapToGrid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加强城市供水供电能力建设。</w:t>
      </w:r>
      <w:r>
        <w:rPr>
          <w:rFonts w:hint="eastAsia" w:ascii="Times New Roman" w:hAnsi="Times New Roman" w:eastAsia="方正仿宋简体"/>
          <w:color w:val="000000" w:themeColor="text1"/>
          <w:sz w:val="32"/>
          <w:szCs w:val="32"/>
          <w14:textFill>
            <w14:solidFill>
              <w14:schemeClr w14:val="tx1"/>
            </w14:solidFill>
          </w14:textFill>
        </w:rPr>
        <w:t>完善城市全覆盖的供水管网。加快新建道路供水主次干管的建设，推动供水管网向新城区、薄弱区域延伸覆盖，推进全区老旧供水管网改造，全面推广二次供水“建管合一”模式，逐步实现供水终端服务。开展管道直饮水系统应用试点。深化完善供电应急响应预案，加强对供电设备的安全运行管护，及时检修处理隐患，保障居民用电安全。</w:t>
      </w:r>
    </w:p>
    <w:p w14:paraId="4758958A">
      <w:pPr>
        <w:widowControl w:val="0"/>
        <w:overflowPunct w:val="0"/>
        <w:autoSpaceDE w:val="0"/>
        <w:autoSpaceDN w:val="0"/>
        <w:snapToGrid w:val="0"/>
        <w:spacing w:line="590" w:lineRule="exact"/>
        <w:ind w:firstLine="643" w:firstLineChars="200"/>
        <w:jc w:val="both"/>
        <w:rPr>
          <w:rFonts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提升污水垃圾处理水平。</w:t>
      </w:r>
      <w:r>
        <w:rPr>
          <w:rFonts w:hint="eastAsia" w:ascii="Times New Roman" w:hAnsi="Times New Roman" w:eastAsia="方正仿宋简体"/>
          <w:color w:val="000000" w:themeColor="text1"/>
          <w:sz w:val="32"/>
          <w:szCs w:val="32"/>
          <w14:textFill>
            <w14:solidFill>
              <w14:schemeClr w14:val="tx1"/>
            </w14:solidFill>
          </w14:textFill>
        </w:rPr>
        <w:t>加快老城区和江南新区的污水收集管网改造与建设，积极做好污水管网支管网建设工作，引导企业和居民将污水接入污水管网，加快推进雨污分流、截污工作，不断提高城市生活污水收集处理水平。进一步健全完善垃圾收集、转运、处置体系，确保日常保洁机制有效运转，避免垃圾入河入溪。加大投入改造生活垃圾收运设施、设备，全面推广生活垃圾源头分类收集和运输，积极推广“垃圾不落地”，实施“厕所革命”和“垃圾分类”工程，建立酒店餐饮餐厨垃圾独立收运处理体系，推进江南新区垃圾中转站建设。力争到2025年，垃圾无害化处理率达到100%，大幅提高生活垃圾资源化利用率。</w:t>
      </w:r>
    </w:p>
    <w:p w14:paraId="24E1E9A0">
      <w:pPr>
        <w:widowControl w:val="0"/>
        <w:overflowPunct w:val="0"/>
        <w:autoSpaceDE w:val="0"/>
        <w:autoSpaceDN w:val="0"/>
        <w:snapToGrid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推动城市地下综合管廊建设。</w:t>
      </w:r>
      <w:r>
        <w:rPr>
          <w:rFonts w:hint="eastAsia" w:ascii="Times New Roman" w:hAnsi="Times New Roman" w:eastAsia="方正仿宋简体"/>
          <w:color w:val="000000" w:themeColor="text1"/>
          <w:sz w:val="32"/>
          <w:szCs w:val="32"/>
          <w14:textFill>
            <w14:solidFill>
              <w14:schemeClr w14:val="tx1"/>
            </w14:solidFill>
          </w14:textFill>
        </w:rPr>
        <w:t>稳步推进地下综合管廊建设，不断提升地下管线集约化建设和运营管理水平，推动地下管线建设和管理顺利移交，形成可示范、可借鉴、可推广的试点经验。加强老旧城区道路、管道提升改造，优先改造材质落后、漏损严重、影响安全的老旧管网，加强检查、维修和养护，确保管网漏损率控制在国家标准以内。全面摸排江南新区地下管网基础现状，优化管网规划布局，结合新建道路，试点推进集水、电、气、通信等各类管线的地下综合管廊建设，采取智能化信息技术手段，同步推进智慧综合管廊建设。</w:t>
      </w:r>
    </w:p>
    <w:p w14:paraId="161BD881">
      <w:pPr>
        <w:widowControl w:val="0"/>
        <w:overflowPunct w:val="0"/>
        <w:autoSpaceDE w:val="0"/>
        <w:autoSpaceDN w:val="0"/>
        <w:snapToGrid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p>
    <w:p w14:paraId="6C007809">
      <w:pPr>
        <w:pStyle w:val="3"/>
        <w:keepNext w:val="0"/>
        <w:keepLines w:val="0"/>
        <w:overflowPunct w:val="0"/>
        <w:spacing w:before="0" w:after="0" w:line="590" w:lineRule="exact"/>
        <w:jc w:val="center"/>
        <w:rPr>
          <w:rFonts w:ascii="Times New Roman" w:hAnsi="Times New Roman" w:eastAsia="方正黑体简体" w:cs="Times New Roman (标题 CS)"/>
          <w:b w:val="0"/>
          <w:color w:val="000000" w:themeColor="text1"/>
          <w14:textFill>
            <w14:solidFill>
              <w14:schemeClr w14:val="tx1"/>
            </w14:solidFill>
          </w14:textFill>
        </w:rPr>
      </w:pPr>
      <w:bookmarkStart w:id="126" w:name="_Toc73976158"/>
      <w:bookmarkStart w:id="127" w:name="_Toc59811673"/>
      <w:bookmarkStart w:id="128" w:name="_Toc74035510"/>
      <w:r>
        <w:rPr>
          <w:rFonts w:hint="eastAsia" w:ascii="Times New Roman" w:hAnsi="Times New Roman" w:eastAsia="方正黑体简体" w:cs="Times New Roman (标题 CS)"/>
          <w:b w:val="0"/>
          <w:color w:val="000000" w:themeColor="text1"/>
          <w14:textFill>
            <w14:solidFill>
              <w14:schemeClr w14:val="tx1"/>
            </w14:solidFill>
          </w14:textFill>
        </w:rPr>
        <w:t>第三节 推进城市更新与社区改造</w:t>
      </w:r>
      <w:bookmarkEnd w:id="126"/>
      <w:bookmarkEnd w:id="127"/>
      <w:bookmarkEnd w:id="128"/>
    </w:p>
    <w:p w14:paraId="50AE8587"/>
    <w:p w14:paraId="7D37E42A">
      <w:pPr>
        <w:widowControl w:val="0"/>
        <w:overflowPunct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有序推进城市有机更新，加快老旧小区、背街小巷改造，提升居民生活环境与品质，推动城市面貌更新，不断探索新型社区建设与管理模式，实现社区管理便捷化。</w:t>
      </w:r>
      <w:r>
        <w:rPr>
          <w:rFonts w:ascii="Times New Roman" w:hAnsi="Times New Roman" w:eastAsia="方正仿宋简体"/>
          <w:color w:val="000000" w:themeColor="text1"/>
          <w:sz w:val="32"/>
          <w:szCs w:val="32"/>
          <w14:textFill>
            <w14:solidFill>
              <w14:schemeClr w14:val="tx1"/>
            </w14:solidFill>
          </w14:textFill>
        </w:rPr>
        <w:t>立足</w:t>
      </w:r>
      <w:r>
        <w:rPr>
          <w:rFonts w:hint="eastAsia" w:ascii="Times New Roman" w:hAnsi="Times New Roman" w:eastAsia="方正仿宋简体"/>
          <w:color w:val="000000" w:themeColor="text1"/>
          <w:sz w:val="32"/>
          <w:szCs w:val="32"/>
          <w14:textFill>
            <w14:solidFill>
              <w14:schemeClr w14:val="tx1"/>
            </w14:solidFill>
          </w14:textFill>
        </w:rPr>
        <w:t>社区</w:t>
      </w:r>
      <w:r>
        <w:rPr>
          <w:rFonts w:ascii="Times New Roman" w:hAnsi="Times New Roman" w:eastAsia="方正仿宋简体"/>
          <w:color w:val="000000" w:themeColor="text1"/>
          <w:sz w:val="32"/>
          <w:szCs w:val="32"/>
          <w14:textFill>
            <w14:solidFill>
              <w14:schemeClr w14:val="tx1"/>
            </w14:solidFill>
          </w14:textFill>
        </w:rPr>
        <w:t>实际，全力实施</w:t>
      </w:r>
      <w:r>
        <w:rPr>
          <w:rFonts w:hint="eastAsia" w:ascii="Times New Roman" w:hAnsi="Times New Roman" w:eastAsia="方正仿宋简体"/>
          <w:color w:val="000000" w:themeColor="text1"/>
          <w:sz w:val="32"/>
          <w:szCs w:val="32"/>
          <w14:textFill>
            <w14:solidFill>
              <w14:schemeClr w14:val="tx1"/>
            </w14:solidFill>
          </w14:textFill>
        </w:rPr>
        <w:t>“</w:t>
      </w:r>
      <w:r>
        <w:rPr>
          <w:rFonts w:ascii="Times New Roman" w:hAnsi="Times New Roman" w:eastAsia="方正仿宋简体"/>
          <w:color w:val="000000" w:themeColor="text1"/>
          <w:sz w:val="32"/>
          <w:szCs w:val="32"/>
          <w14:textFill>
            <w14:solidFill>
              <w14:schemeClr w14:val="tx1"/>
            </w14:solidFill>
          </w14:textFill>
        </w:rPr>
        <w:t>文旅+</w:t>
      </w:r>
      <w:r>
        <w:rPr>
          <w:rFonts w:hint="eastAsia" w:ascii="Times New Roman" w:hAnsi="Times New Roman" w:eastAsia="方正仿宋简体"/>
          <w:color w:val="000000" w:themeColor="text1"/>
          <w:sz w:val="32"/>
          <w:szCs w:val="32"/>
          <w14:textFill>
            <w14:solidFill>
              <w14:schemeClr w14:val="tx1"/>
            </w14:solidFill>
          </w14:textFill>
        </w:rPr>
        <w:t>”</w:t>
      </w:r>
      <w:r>
        <w:rPr>
          <w:rFonts w:ascii="Times New Roman" w:hAnsi="Times New Roman" w:eastAsia="方正仿宋简体"/>
          <w:color w:val="000000" w:themeColor="text1"/>
          <w:sz w:val="32"/>
          <w:szCs w:val="32"/>
          <w14:textFill>
            <w14:solidFill>
              <w14:schemeClr w14:val="tx1"/>
            </w14:solidFill>
          </w14:textFill>
        </w:rPr>
        <w:t>街区建设、</w:t>
      </w:r>
      <w:r>
        <w:rPr>
          <w:rFonts w:hint="eastAsia" w:ascii="Times New Roman" w:hAnsi="Times New Roman" w:eastAsia="方正仿宋简体"/>
          <w:color w:val="000000" w:themeColor="text1"/>
          <w:sz w:val="32"/>
          <w:szCs w:val="32"/>
          <w14:textFill>
            <w14:solidFill>
              <w14:schemeClr w14:val="tx1"/>
            </w14:solidFill>
          </w14:textFill>
        </w:rPr>
        <w:t>“</w:t>
      </w:r>
      <w:r>
        <w:rPr>
          <w:rFonts w:ascii="Times New Roman" w:hAnsi="Times New Roman" w:eastAsia="方正仿宋简体"/>
          <w:color w:val="000000" w:themeColor="text1"/>
          <w:sz w:val="32"/>
          <w:szCs w:val="32"/>
          <w14:textFill>
            <w14:solidFill>
              <w14:schemeClr w14:val="tx1"/>
            </w14:solidFill>
          </w14:textFill>
        </w:rPr>
        <w:t>三生</w:t>
      </w:r>
      <w:r>
        <w:rPr>
          <w:rFonts w:hint="eastAsia" w:ascii="Times New Roman" w:hAnsi="Times New Roman" w:eastAsia="方正仿宋简体"/>
          <w:color w:val="000000" w:themeColor="text1"/>
          <w:sz w:val="32"/>
          <w:szCs w:val="32"/>
          <w14:textFill>
            <w14:solidFill>
              <w14:schemeClr w14:val="tx1"/>
            </w14:solidFill>
          </w14:textFill>
        </w:rPr>
        <w:t>”</w:t>
      </w:r>
      <w:r>
        <w:rPr>
          <w:rFonts w:ascii="Times New Roman" w:hAnsi="Times New Roman" w:eastAsia="方正仿宋简体"/>
          <w:color w:val="000000" w:themeColor="text1"/>
          <w:sz w:val="32"/>
          <w:szCs w:val="32"/>
          <w14:textFill>
            <w14:solidFill>
              <w14:schemeClr w14:val="tx1"/>
            </w14:solidFill>
          </w14:textFill>
        </w:rPr>
        <w:t>融合发展、新型社区治理、社区经济提升、宜居环境整治五大工程，因地制宜，充分挖掘、利用各社区自然、人文、产业资源优势，着力培育一批特色产业示范社区、生态宜居的美丽社区、民风淳朴的文明社区、治理高效的和谐社区，</w:t>
      </w:r>
      <w:r>
        <w:rPr>
          <w:rFonts w:hint="eastAsia" w:ascii="Times New Roman" w:hAnsi="Times New Roman" w:eastAsia="方正仿宋简体"/>
          <w:color w:val="000000" w:themeColor="text1"/>
          <w:sz w:val="32"/>
          <w:szCs w:val="32"/>
          <w14:textFill>
            <w14:solidFill>
              <w14:schemeClr w14:val="tx1"/>
            </w14:solidFill>
          </w14:textFill>
        </w:rPr>
        <w:t>助力</w:t>
      </w:r>
      <w:r>
        <w:rPr>
          <w:rFonts w:ascii="Times New Roman" w:hAnsi="Times New Roman" w:eastAsia="方正仿宋简体"/>
          <w:color w:val="000000" w:themeColor="text1"/>
          <w:sz w:val="32"/>
          <w:szCs w:val="32"/>
          <w14:textFill>
            <w14:solidFill>
              <w14:schemeClr w14:val="tx1"/>
            </w14:solidFill>
          </w14:textFill>
        </w:rPr>
        <w:t>鲤城社区振兴</w:t>
      </w:r>
      <w:r>
        <w:rPr>
          <w:rFonts w:hint="eastAsia" w:ascii="Times New Roman" w:hAnsi="Times New Roman" w:eastAsia="方正仿宋简体"/>
          <w:color w:val="000000" w:themeColor="text1"/>
          <w:sz w:val="32"/>
          <w:szCs w:val="32"/>
          <w14:textFill>
            <w14:solidFill>
              <w14:schemeClr w14:val="tx1"/>
            </w14:solidFill>
          </w14:textFill>
        </w:rPr>
        <w:t>发展</w:t>
      </w:r>
      <w:r>
        <w:rPr>
          <w:rFonts w:ascii="Times New Roman" w:hAnsi="Times New Roman" w:eastAsia="方正仿宋简体"/>
          <w:color w:val="000000" w:themeColor="text1"/>
          <w:sz w:val="32"/>
          <w:szCs w:val="32"/>
          <w14:textFill>
            <w14:solidFill>
              <w14:schemeClr w14:val="tx1"/>
            </w14:solidFill>
          </w14:textFill>
        </w:rPr>
        <w:t>。</w:t>
      </w:r>
    </w:p>
    <w:p w14:paraId="11309D2C">
      <w:pPr>
        <w:widowControl w:val="0"/>
        <w:overflowPunct w:val="0"/>
        <w:autoSpaceDE w:val="0"/>
        <w:autoSpaceDN w:val="0"/>
        <w:snapToGrid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推动城市更新改造。</w:t>
      </w:r>
      <w:r>
        <w:rPr>
          <w:rFonts w:hint="eastAsia" w:ascii="Times New Roman" w:hAnsi="Times New Roman" w:eastAsia="方正仿宋简体"/>
          <w:color w:val="000000" w:themeColor="text1"/>
          <w:sz w:val="32"/>
          <w:szCs w:val="32"/>
          <w14:textFill>
            <w14:solidFill>
              <w14:schemeClr w14:val="tx1"/>
            </w14:solidFill>
          </w14:textFill>
        </w:rPr>
        <w:t>探索老旧小区改造长效机制，加快推进全区老旧小区结合周边背街小巷的改造分类分批实施整治，加强危房、石结构房屋改造，推进老旧小区有机更新，支持符合条件的老旧既有建筑加装电梯，完善消防、停车、充电、照明等设施及社区服务设施，改善居住条件，进一步提升老旧小区景观面貌。鼓励业主在“修旧如初”的原则下，对有保护和开发价值的名人故居、古民居、古建筑、古大厝以及私宅进行修缮保护，对中山路和西街重点保护街区制定统一的房屋修缮指导图则，引导群众共同参与古城宜居环境品质提升。提高公安技术性用房建设标准，提升群租房的居住条件与环境，分年度、分批次组织实施全区老旧小区改造工程，实行“一期一策”，加快实施已启动的68个老旧小区项目工程建设，力争2022年取得阶段性成效。深入谋划，继续推动剩余161个老旧小区改造项目稳步实施，力争2025年完成全区老旧小区改造任务。</w:t>
      </w:r>
    </w:p>
    <w:p w14:paraId="54062FDD">
      <w:pPr>
        <w:widowControl w:val="0"/>
        <w:overflowPunct w:val="0"/>
        <w:autoSpaceDE w:val="0"/>
        <w:autoSpaceDN w:val="0"/>
        <w:snapToGrid w:val="0"/>
        <w:spacing w:line="590" w:lineRule="exact"/>
        <w:ind w:left="120" w:leftChars="50"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探索新型社区模式</w:t>
      </w:r>
      <w:r>
        <w:rPr>
          <w:rFonts w:hint="eastAsia" w:ascii="Times New Roman" w:hAnsi="Times New Roman" w:eastAsia="方正仿宋简体"/>
          <w:color w:val="000000" w:themeColor="text1"/>
          <w:sz w:val="32"/>
          <w:szCs w:val="32"/>
          <w14:textFill>
            <w14:solidFill>
              <w14:schemeClr w14:val="tx1"/>
            </w14:solidFill>
          </w14:textFill>
        </w:rPr>
        <w:t>。引入“未来社区”治理概念，加大“低碳社区”建设力度，“以人民为中心”推进社区网格化管理，切实构建为民便民的“15分钟生活圈”。古城社区管理方面，要探索特色鲜明“三区融合”发展模式，从空间融合、文化融合、治理融合等多方面着手，充分调动各个主体参与“社区”管理的主动性，让“社区”里的“街区景区”深耕旅游内涵，实现社区形象高品质、管理高标准、服务高水平。通过“微规划”“微改造”“微治理”，以和谐社区营造为关键，将老旧小区、片区串点成线，开展古城社区营造工程，探索古城“铺境”格局。江南新区建设方面，要聚焦人本化、生态化、数字化三维价值，以和睦共治、绿色集约、智慧共享为内涵特征，突出高品质生活主轴，构建以未来邻里、教育、健康、创业、建筑、交通、低碳、服务和治理等九大场景创新为重点的集成系统，将社区打造成为有归属感、舒适感和未来感的新型城市功能单元，促进人的全面发展和社会进步。在片区开发过程中加强安置房、安商房建设，确保被征迁群众能尽快回迁得到妥善安置。</w:t>
      </w:r>
    </w:p>
    <w:p w14:paraId="7BBA3867">
      <w:pPr>
        <w:widowControl w:val="0"/>
        <w:overflowPunct w:val="0"/>
        <w:autoSpaceDE w:val="0"/>
        <w:autoSpaceDN w:val="0"/>
        <w:snapToGrid w:val="0"/>
        <w:spacing w:line="590" w:lineRule="exact"/>
        <w:ind w:left="120" w:leftChars="50" w:firstLine="640" w:firstLineChars="200"/>
        <w:jc w:val="both"/>
        <w:rPr>
          <w:rFonts w:ascii="Times New Roman" w:hAnsi="Times New Roman" w:eastAsia="方正仿宋简体"/>
          <w:color w:val="000000" w:themeColor="text1"/>
          <w:sz w:val="32"/>
          <w:szCs w:val="32"/>
          <w14:textFill>
            <w14:solidFill>
              <w14:schemeClr w14:val="tx1"/>
            </w14:solidFill>
          </w14:textFill>
        </w:rPr>
      </w:pPr>
    </w:p>
    <w:p w14:paraId="7C46AEB6">
      <w:pPr>
        <w:pStyle w:val="3"/>
        <w:keepNext w:val="0"/>
        <w:keepLines w:val="0"/>
        <w:overflowPunct w:val="0"/>
        <w:spacing w:before="0" w:after="0" w:line="590" w:lineRule="exact"/>
        <w:jc w:val="center"/>
        <w:rPr>
          <w:rFonts w:ascii="Times New Roman" w:hAnsi="Times New Roman" w:eastAsia="黑体" w:cs="Times New Roman (标题 CS)"/>
          <w:b w:val="0"/>
          <w:color w:val="000000" w:themeColor="text1"/>
          <w14:textFill>
            <w14:solidFill>
              <w14:schemeClr w14:val="tx1"/>
            </w14:solidFill>
          </w14:textFill>
        </w:rPr>
      </w:pPr>
      <w:bookmarkStart w:id="129" w:name="_Toc73976159"/>
      <w:bookmarkStart w:id="130" w:name="_Toc74035511"/>
      <w:bookmarkStart w:id="131" w:name="_Toc59811674"/>
      <w:r>
        <w:rPr>
          <w:rFonts w:hint="eastAsia" w:ascii="Times New Roman" w:hAnsi="Times New Roman" w:eastAsia="黑体" w:cs="Times New Roman (标题 CS)"/>
          <w:b w:val="0"/>
          <w:color w:val="000000" w:themeColor="text1"/>
          <w14:textFill>
            <w14:solidFill>
              <w14:schemeClr w14:val="tx1"/>
            </w14:solidFill>
          </w14:textFill>
        </w:rPr>
        <w:t>第四节 加快智慧城市建设进度</w:t>
      </w:r>
      <w:bookmarkEnd w:id="129"/>
      <w:bookmarkEnd w:id="130"/>
      <w:bookmarkEnd w:id="131"/>
    </w:p>
    <w:p w14:paraId="6CF100E8"/>
    <w:p w14:paraId="6EA6AD3A">
      <w:pPr>
        <w:widowControl w:val="0"/>
        <w:overflowPunct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不断提升城市信息化、智能化水平，加大信息基础设施投入，加快建设高速泛在、畅通便捷的信息网络和服务体系，提升智慧城市管理水平。</w:t>
      </w:r>
    </w:p>
    <w:p w14:paraId="05A323EE">
      <w:pPr>
        <w:widowControl w:val="0"/>
        <w:overflowPunct w:val="0"/>
        <w:autoSpaceDE w:val="0"/>
        <w:autoSpaceDN w:val="0"/>
        <w:snapToGrid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bookmarkStart w:id="132" w:name="_Toc47211573"/>
      <w:r>
        <w:rPr>
          <w:rFonts w:hint="eastAsia" w:ascii="Times New Roman" w:hAnsi="Times New Roman" w:eastAsia="方正仿宋简体"/>
          <w:b/>
          <w:color w:val="000000" w:themeColor="text1"/>
          <w:sz w:val="32"/>
          <w:szCs w:val="32"/>
          <w14:textFill>
            <w14:solidFill>
              <w14:schemeClr w14:val="tx1"/>
            </w14:solidFill>
          </w14:textFill>
        </w:rPr>
        <w:t>加快新基建布局投入</w:t>
      </w:r>
      <w:bookmarkEnd w:id="132"/>
      <w:r>
        <w:rPr>
          <w:rFonts w:hint="eastAsia" w:ascii="Times New Roman" w:hAnsi="Times New Roman" w:eastAsia="方正仿宋简体"/>
          <w:b/>
          <w:color w:val="000000" w:themeColor="text1"/>
          <w:sz w:val="32"/>
          <w:szCs w:val="32"/>
          <w14:textFill>
            <w14:solidFill>
              <w14:schemeClr w14:val="tx1"/>
            </w14:solidFill>
          </w14:textFill>
        </w:rPr>
        <w:t>。</w:t>
      </w:r>
      <w:r>
        <w:rPr>
          <w:rFonts w:hint="eastAsia" w:ascii="Times New Roman" w:hAnsi="Times New Roman" w:eastAsia="方正仿宋简体"/>
          <w:color w:val="000000" w:themeColor="text1"/>
          <w:sz w:val="32"/>
          <w:szCs w:val="32"/>
          <w14:textFill>
            <w14:solidFill>
              <w14:schemeClr w14:val="tx1"/>
            </w14:solidFill>
          </w14:textFill>
        </w:rPr>
        <w:t>完善信息基础网络建设，加快推进“无线城市”建设，加快5G基站布局与建设，实现网络优化和深度覆盖，推进WiFi全域覆盖，不断提升互联网用户体验度，形成多层次、高带宽、全覆盖的基础网络。加快物联网技术推广应用。推进城市公共基础设施物联网部署，鼓励利用遥感技术、北斗卫星定位、射频识别技术（RFID）、传感器及摄像头等多种感知技术，推进交通、能源、排水、环保、应急等城市基础设施物联网化改造。</w:t>
      </w:r>
    </w:p>
    <w:p w14:paraId="5FA37760">
      <w:pPr>
        <w:widowControl w:val="0"/>
        <w:overflowPunct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加快政务平台建设与优化。</w:t>
      </w:r>
      <w:r>
        <w:rPr>
          <w:rFonts w:hint="eastAsia" w:ascii="Times New Roman" w:hAnsi="Times New Roman" w:eastAsia="方正仿宋简体"/>
          <w:color w:val="000000" w:themeColor="text1"/>
          <w:sz w:val="32"/>
          <w:szCs w:val="32"/>
          <w14:textFill>
            <w14:solidFill>
              <w14:schemeClr w14:val="tx1"/>
            </w14:solidFill>
          </w14:textFill>
        </w:rPr>
        <w:t>健全政务信息资源目录，积极开展数据分析、处理和挖掘，提高政府决策能力和执行能力的前瞻性、针对性和科学性。打造政务服务综合云平台，加快建设政务信息资源交换开放平台，构建统一、规范、高效的电子文件管理体系，实现全区政务数据分类清晰、传输准确和实时交换。建设动态资源调度和动态展现平台，向各类政府部门提供定制化的信息内容服务。开发居民信息共享的政务服务APP（微信小程序），为基层人员减负释压。</w:t>
      </w:r>
    </w:p>
    <w:p w14:paraId="6C084E12">
      <w:pPr>
        <w:widowControl w:val="0"/>
        <w:overflowPunct w:val="0"/>
        <w:autoSpaceDE w:val="0"/>
        <w:autoSpaceDN w:val="0"/>
        <w:snapToGrid w:val="0"/>
        <w:spacing w:line="590" w:lineRule="exact"/>
        <w:ind w:firstLine="643" w:firstLineChars="200"/>
        <w:jc w:val="both"/>
        <w:rPr>
          <w:rFonts w:ascii="Times New Roman" w:hAnsi="Times New Roman" w:eastAsia="方正仿宋简体"/>
          <w:b/>
          <w:bCs/>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提升城市综合服务功能。</w:t>
      </w:r>
      <w:r>
        <w:rPr>
          <w:rFonts w:hint="eastAsia" w:ascii="Times New Roman" w:hAnsi="Times New Roman" w:eastAsia="方正仿宋简体"/>
          <w:color w:val="000000" w:themeColor="text1"/>
          <w:sz w:val="32"/>
          <w:szCs w:val="32"/>
          <w14:textFill>
            <w14:solidFill>
              <w14:schemeClr w14:val="tx1"/>
            </w14:solidFill>
          </w14:textFill>
        </w:rPr>
        <w:t>构建城市智能门户，更大范围聚合全区公共服务大数据资源和各类应用，依托“泉城通”“12345便民服务平台”“鲤城掌上12348公共法律服务平台”微信公众号等平台系统，推进“多屏联动”，打造全景式、全覆盖的公共服务平台。提供市民服务便捷性，深化整合智慧医疗、智慧交通、智慧消防、智慧安防社区等基本公共服务应用，提升网站群整合政务服务信息能力。提升企业服务水平，整合企业办事、市场监管、金融服务等各类资源。加强城市管理能力，建设升级智慧鲤城指挥运行中心，打造“全要素”立体展示调度中心、重要活动和应急事件的“全频道”指挥中心、重大城市管理事项的“全景式”决策分析中心。</w:t>
      </w:r>
    </w:p>
    <w:p w14:paraId="67567C25">
      <w:pPr>
        <w:widowControl w:val="0"/>
        <w:overflowPunct w:val="0"/>
        <w:spacing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完善公共数据资源共享交换平台。</w:t>
      </w:r>
      <w:r>
        <w:rPr>
          <w:rFonts w:hint="eastAsia" w:ascii="Times New Roman" w:hAnsi="Times New Roman" w:eastAsia="方正仿宋简体"/>
          <w:color w:val="000000" w:themeColor="text1"/>
          <w:sz w:val="32"/>
          <w:szCs w:val="32"/>
          <w14:textFill>
            <w14:solidFill>
              <w14:schemeClr w14:val="tx1"/>
            </w14:solidFill>
          </w14:textFill>
        </w:rPr>
        <w:t>加快建设和完善基础空间数据库、地名地址数据库、人口库、法人库、经济社会统计指标库。推进智慧鲤城时空基础设施建设，建成覆盖鲤城区域的时空数据中心，实现从基础地理信息数据到时空信息数据的升级和一体化组织管理，提供“多源、多尺度、多时态”时空信息数据服务。</w:t>
      </w:r>
      <w:r>
        <w:rPr>
          <w:rFonts w:hint="eastAsia" w:ascii="Times New Roman" w:hAnsi="Times New Roman" w:eastAsia="方正仿宋简体" w:cs="仿宋"/>
          <w:color w:val="000000" w:themeColor="text1"/>
          <w:kern w:val="2"/>
          <w:sz w:val="32"/>
          <w:szCs w:val="32"/>
          <w14:textFill>
            <w14:solidFill>
              <w14:schemeClr w14:val="tx1"/>
            </w14:solidFill>
          </w14:textFill>
        </w:rPr>
        <w:t>通过构建数据共享交换平台体系，统一明确信息共享的种类、标准、范围、流程，真正实现跨层级、跨区域、跨系统、跨部门、跨业务的数据信息可靠交换与安全共享。</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7"/>
      </w:tblGrid>
      <w:tr w14:paraId="37BD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7" w:type="dxa"/>
            <w:shd w:val="clear" w:color="auto" w:fill="auto"/>
          </w:tcPr>
          <w:p w14:paraId="422422AB">
            <w:pPr>
              <w:pStyle w:val="22"/>
              <w:widowControl w:val="0"/>
              <w:shd w:val="clear" w:color="auto" w:fill="FFFFFF"/>
              <w:spacing w:before="0" w:beforeAutospacing="0" w:after="0" w:afterAutospacing="0"/>
              <w:jc w:val="center"/>
              <w:rPr>
                <w:rFonts w:ascii="Times New Roman" w:hAnsi="Times New Roman" w:eastAsia="方正仿宋简体" w:cs="仿宋"/>
                <w:b/>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t>专栏20 智慧城市建设工程</w:t>
            </w:r>
          </w:p>
        </w:tc>
      </w:tr>
      <w:tr w14:paraId="1151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7" w:type="dxa"/>
            <w:shd w:val="clear" w:color="auto" w:fill="auto"/>
          </w:tcPr>
          <w:p w14:paraId="55D6421F">
            <w:pPr>
              <w:widowControl w:val="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智慧城市建设架构搭建。</w:t>
            </w:r>
            <w:r>
              <w:rPr>
                <w:rFonts w:hint="eastAsia" w:ascii="Times New Roman" w:hAnsi="Times New Roman" w:eastAsia="方正仿宋简体" w:cs="仿宋"/>
                <w:color w:val="000000" w:themeColor="text1"/>
                <w:szCs w:val="32"/>
                <w14:textFill>
                  <w14:solidFill>
                    <w14:schemeClr w14:val="tx1"/>
                  </w14:solidFill>
                </w14:textFill>
              </w:rPr>
              <w:t>建立城市大数据管理服务平台，完善数据处理平台、行业接口管理平台、应用运行管理平台和平台应用软件服务等功能模块。加强基础数据库、应用主题数据库与省、市级数据资源的共享共通，积极对接省、市“城市大脑”计算资源、算法服务等，完善部门间数据交换共享机制。推动智慧城市运行中心建设，打造线下可视化“中枢”。到2025年，智慧应用项目全面接入平台，政府信息资源汇聚共享和开放开发格局全面形成。</w:t>
            </w:r>
          </w:p>
          <w:p w14:paraId="67C21D01">
            <w:pPr>
              <w:widowControl w:val="0"/>
              <w:overflowPunct w:val="0"/>
              <w:ind w:right="72" w:rightChars="30" w:firstLine="562" w:firstLineChars="200"/>
              <w:jc w:val="both"/>
              <w:rPr>
                <w:rFonts w:ascii="Times New Roman" w:hAnsi="Times New Roman" w:eastAsia="方正仿宋简体" w:cs="仿宋"/>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政务服务数字化工程。</w:t>
            </w:r>
            <w:r>
              <w:rPr>
                <w:rFonts w:hint="eastAsia" w:ascii="Times New Roman" w:hAnsi="Times New Roman" w:eastAsia="方正仿宋简体" w:cs="仿宋"/>
                <w:color w:val="000000" w:themeColor="text1"/>
                <w:szCs w:val="32"/>
                <w14:textFill>
                  <w14:solidFill>
                    <w14:schemeClr w14:val="tx1"/>
                  </w14:solidFill>
                </w14:textFill>
              </w:rPr>
              <w:t>深化“最多跑一次”改革，优化整合线上线下办事大厅，加快向基层延伸，强化智慧鲤城APP的开发与推广应用，加强一证通办、推行掌上办理，全面推进“掌上办事”，实现“一网通办”。到2025年，全区政务数据共享率达95％以上，95%事项实现“最多跑一次”，75%以上事项实现“零上门”，网上申报率达90%。</w:t>
            </w:r>
          </w:p>
        </w:tc>
      </w:tr>
    </w:tbl>
    <w:p w14:paraId="55DDF0D1">
      <w:pPr>
        <w:pStyle w:val="3"/>
        <w:keepNext w:val="0"/>
        <w:keepLines w:val="0"/>
        <w:spacing w:before="0" w:after="0" w:line="590" w:lineRule="exact"/>
        <w:jc w:val="center"/>
        <w:rPr>
          <w:rFonts w:ascii="Times New Roman" w:hAnsi="Times New Roman" w:eastAsia="黑体" w:cs="Times New Roman (标题 CS)"/>
          <w:b w:val="0"/>
          <w:color w:val="000000" w:themeColor="text1"/>
          <w14:textFill>
            <w14:solidFill>
              <w14:schemeClr w14:val="tx1"/>
            </w14:solidFill>
          </w14:textFill>
        </w:rPr>
      </w:pPr>
      <w:bookmarkStart w:id="133" w:name="_Toc73976160"/>
      <w:bookmarkStart w:id="134" w:name="_Toc59811675"/>
    </w:p>
    <w:p w14:paraId="5DBA9BB2">
      <w:pPr>
        <w:pStyle w:val="3"/>
        <w:keepNext w:val="0"/>
        <w:keepLines w:val="0"/>
        <w:spacing w:before="0" w:after="0" w:line="590" w:lineRule="exact"/>
        <w:jc w:val="center"/>
        <w:rPr>
          <w:rFonts w:ascii="Times New Roman" w:hAnsi="Times New Roman" w:eastAsia="黑体" w:cs="Times New Roman (标题 CS)"/>
          <w:b w:val="0"/>
          <w:color w:val="000000" w:themeColor="text1"/>
          <w14:textFill>
            <w14:solidFill>
              <w14:schemeClr w14:val="tx1"/>
            </w14:solidFill>
          </w14:textFill>
        </w:rPr>
      </w:pPr>
      <w:bookmarkStart w:id="135" w:name="_Toc74035512"/>
      <w:r>
        <w:rPr>
          <w:rFonts w:hint="eastAsia" w:ascii="Times New Roman" w:hAnsi="Times New Roman" w:eastAsia="黑体" w:cs="Times New Roman (标题 CS)"/>
          <w:b w:val="0"/>
          <w:color w:val="000000" w:themeColor="text1"/>
          <w14:textFill>
            <w14:solidFill>
              <w14:schemeClr w14:val="tx1"/>
            </w14:solidFill>
          </w14:textFill>
        </w:rPr>
        <w:t>第五节 增强城市精细化管理能力</w:t>
      </w:r>
      <w:bookmarkEnd w:id="133"/>
      <w:bookmarkEnd w:id="134"/>
      <w:bookmarkEnd w:id="135"/>
    </w:p>
    <w:p w14:paraId="0B9E61C2"/>
    <w:p w14:paraId="39FC1297">
      <w:pPr>
        <w:widowControl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深化城市管理体制改革，为人民管好城市，抓重点、补短板、破难点，以问题为导向，做到精准发力，着力解决群众关注的突出问题，推动城市管理走向城市治理，让人民群众生活得更方便、更舒心、更美好。</w:t>
      </w:r>
    </w:p>
    <w:p w14:paraId="729D36D2">
      <w:pPr>
        <w:widowControl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加强智慧城管建设。</w:t>
      </w:r>
      <w:r>
        <w:rPr>
          <w:rFonts w:hint="eastAsia" w:ascii="Times New Roman" w:hAnsi="Times New Roman" w:eastAsia="方正仿宋简体"/>
          <w:color w:val="000000" w:themeColor="text1"/>
          <w:sz w:val="32"/>
          <w:szCs w:val="32"/>
          <w14:textFill>
            <w14:solidFill>
              <w14:schemeClr w14:val="tx1"/>
            </w14:solidFill>
          </w14:textFill>
        </w:rPr>
        <w:t>依托智慧城市平台，推进部门系统联网，实现全时段、全方位、全覆盖监控城区，形成以信息化建设为支撑的数字化城管格局。建立起科学决策体系，发挥区城管对城市综合管理的指挥、统筹、协调、监督作用，落实“大城管”治理格局，厘清各级政府和相关部门职责，重点解决部门间管理职责既有交叉、又有盲区，管理与执法存在脱节、甚至倒置等问题，实现“纵向到底、横向到边，管理无缝隙、责任全覆盖”。</w:t>
      </w:r>
    </w:p>
    <w:p w14:paraId="580E1522">
      <w:pPr>
        <w:widowControl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严管严治道路交通</w:t>
      </w:r>
      <w:r>
        <w:rPr>
          <w:rFonts w:hint="eastAsia" w:ascii="Times New Roman" w:hAnsi="Times New Roman" w:eastAsia="方正仿宋简体"/>
          <w:color w:val="000000" w:themeColor="text1"/>
          <w:sz w:val="32"/>
          <w:szCs w:val="32"/>
          <w14:textFill>
            <w14:solidFill>
              <w14:schemeClr w14:val="tx1"/>
            </w14:solidFill>
          </w14:textFill>
        </w:rPr>
        <w:t>。加快交通管理勤务机制改革，不断健全完善道路交通违法行为大整治常态长效机制；推进“电子警察”建设，强化抓拍违法、拥堵预警、分析应用等方面的功能，逐步完善智能交通管理体系；精细化交通组织和信号配时，开展单向交通适应性分析，推广应用可变车道、“路口禁左”、直行待行区等管理手段，缓解城区局部拥堵；发动各街道、物业参与停车秩序管理，开展错时停车、新增临时停车场地及立体车库，疏堵结合，缓解停车难问题。强化源头管理，依托“五进”工作机制，协调主流媒体、新媒体，有针对性地开展道路规则宣传。</w:t>
      </w:r>
    </w:p>
    <w:p w14:paraId="234A30C3">
      <w:pPr>
        <w:widowControl w:val="0"/>
        <w:spacing w:line="590" w:lineRule="exact"/>
        <w:ind w:firstLine="643" w:firstLineChars="200"/>
        <w:jc w:val="both"/>
        <w:rPr>
          <w:rFonts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提升市容市貌品质。</w:t>
      </w:r>
      <w:r>
        <w:rPr>
          <w:rFonts w:hint="eastAsia" w:ascii="Times New Roman" w:hAnsi="Times New Roman" w:eastAsia="方正仿宋简体"/>
          <w:color w:val="000000" w:themeColor="text1"/>
          <w:sz w:val="32"/>
          <w:szCs w:val="32"/>
          <w14:textFill>
            <w14:solidFill>
              <w14:schemeClr w14:val="tx1"/>
            </w14:solidFill>
          </w14:textFill>
        </w:rPr>
        <w:t>实施“去杂除乱”，分专项抓好占道经营、渣土车、噪声扰民、违规广告、乱排乱挂、违停乱停等乱象整治攻坚。全面推行落实“门前三包”，规范电动自行车集中停放，有效解决乱停乱放现象。加强城市公共空间规划和景观管理，坚持“分区域、有特色、重文化”原则，加强建筑物体量、样式、立面、色调等设计管控。全面整治城市环境。强化边角地、市场周边等薄弱区域绿化美化、环境综合整治，加强日常性维护，实现常态化管理，基本消除环境死角，重点强化西街、中山街等人流集聚以及开元盛世广场、新天城市广场等重要商圈的环境治理。</w:t>
      </w:r>
    </w:p>
    <w:p w14:paraId="0DC688DA">
      <w:pPr>
        <w:widowControl w:val="0"/>
        <w:rPr>
          <w:rFonts w:ascii="Times New Roman" w:hAnsi="Times New Roman" w:eastAsia="方正仿宋简体"/>
          <w:color w:val="000000" w:themeColor="text1"/>
          <w14:textFill>
            <w14:solidFill>
              <w14:schemeClr w14:val="tx1"/>
            </w14:solidFill>
          </w14:textFill>
        </w:rPr>
        <w:sectPr>
          <w:pgSz w:w="11900" w:h="16840"/>
          <w:pgMar w:top="1928" w:right="1474" w:bottom="1701" w:left="1588" w:header="851" w:footer="992" w:gutter="0"/>
          <w:cols w:space="425" w:num="1"/>
          <w:docGrid w:type="lines" w:linePitch="423" w:charSpace="0"/>
        </w:sectPr>
      </w:pPr>
    </w:p>
    <w:p w14:paraId="4D0612E5">
      <w:pPr>
        <w:pStyle w:val="2"/>
        <w:overflowPunct w:val="0"/>
        <w:spacing w:after="0" w:line="590" w:lineRule="exact"/>
        <w:ind w:firstLine="0" w:firstLineChars="0"/>
        <w:jc w:val="center"/>
        <w:rPr>
          <w:rFonts w:ascii="Times New Roman" w:hAnsi="Times New Roman"/>
          <w:b w:val="0"/>
          <w:bCs/>
          <w:color w:val="000000" w:themeColor="text1"/>
          <w:sz w:val="36"/>
          <w14:textFill>
            <w14:solidFill>
              <w14:schemeClr w14:val="tx1"/>
            </w14:solidFill>
          </w14:textFill>
        </w:rPr>
      </w:pPr>
      <w:bookmarkStart w:id="136" w:name="_Toc74035513"/>
      <w:bookmarkStart w:id="137" w:name="_Toc73976161"/>
      <w:bookmarkStart w:id="138" w:name="_Toc59811676"/>
      <w:r>
        <w:rPr>
          <w:rFonts w:hint="eastAsia" w:ascii="Times New Roman" w:hAnsi="Times New Roman"/>
          <w:b w:val="0"/>
          <w:bCs/>
          <w:color w:val="000000" w:themeColor="text1"/>
          <w:sz w:val="36"/>
          <w14:textFill>
            <w14:solidFill>
              <w14:schemeClr w14:val="tx1"/>
            </w14:solidFill>
          </w14:textFill>
        </w:rPr>
        <w:t>第八章 绿色发展，建设山水秀美生态宜居家园</w:t>
      </w:r>
      <w:bookmarkEnd w:id="136"/>
      <w:bookmarkEnd w:id="137"/>
      <w:bookmarkEnd w:id="138"/>
    </w:p>
    <w:p w14:paraId="6393E4FD"/>
    <w:p w14:paraId="5DC5B83E">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践行“绿水青山就是金山银山”发展理念，坚持方向不变、力度不减，继续打好打赢污染防治攻坚战，构建科学完善的生态文明体制，</w:t>
      </w:r>
      <w:bookmarkStart w:id="139" w:name="OLE_LINK9"/>
      <w:bookmarkStart w:id="140" w:name="OLE_LINK10"/>
      <w:r>
        <w:rPr>
          <w:rFonts w:hint="eastAsia" w:ascii="Times New Roman" w:hAnsi="Times New Roman" w:eastAsia="方正仿宋简体" w:cs="仿宋"/>
          <w:color w:val="000000" w:themeColor="text1"/>
          <w:sz w:val="32"/>
          <w:szCs w:val="32"/>
          <w14:textFill>
            <w14:solidFill>
              <w14:schemeClr w14:val="tx1"/>
            </w14:solidFill>
          </w14:textFill>
        </w:rPr>
        <w:t>实施蓝天、碧水、净土工程，</w:t>
      </w:r>
      <w:r>
        <w:rPr>
          <w:rFonts w:hint="eastAsia" w:ascii="Times New Roman" w:hAnsi="Times New Roman" w:eastAsia="方正仿宋简体"/>
          <w:color w:val="000000" w:themeColor="text1"/>
          <w:sz w:val="32"/>
          <w:szCs w:val="32"/>
          <w14:textFill>
            <w14:solidFill>
              <w14:schemeClr w14:val="tx1"/>
            </w14:solidFill>
          </w14:textFill>
        </w:rPr>
        <w:t>持续擦亮国家生态文明建设示范区金字招牌，</w:t>
      </w:r>
      <w:r>
        <w:rPr>
          <w:rFonts w:hint="eastAsia" w:ascii="Times New Roman" w:hAnsi="Times New Roman" w:eastAsia="方正仿宋简体" w:cs="仿宋"/>
          <w:color w:val="000000" w:themeColor="text1"/>
          <w:sz w:val="32"/>
          <w:szCs w:val="32"/>
          <w14:textFill>
            <w14:solidFill>
              <w14:schemeClr w14:val="tx1"/>
            </w14:solidFill>
          </w14:textFill>
        </w:rPr>
        <w:t>共建天蓝水清的绿色生态家园。</w:t>
      </w:r>
      <w:bookmarkEnd w:id="139"/>
      <w:bookmarkEnd w:id="140"/>
    </w:p>
    <w:p w14:paraId="23B15886">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p w14:paraId="5C20B1EA">
      <w:pPr>
        <w:pStyle w:val="3"/>
        <w:keepNext w:val="0"/>
        <w:keepLines w:val="0"/>
        <w:overflowPunct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141" w:name="_Toc59811677"/>
      <w:bookmarkStart w:id="142" w:name="_Toc74035514"/>
      <w:bookmarkStart w:id="143" w:name="_Toc73976162"/>
      <w:r>
        <w:rPr>
          <w:rFonts w:hint="eastAsia" w:ascii="黑体" w:hAnsi="黑体" w:eastAsia="黑体" w:cs="Times New Roman (标题 CS)"/>
          <w:b w:val="0"/>
          <w:color w:val="000000" w:themeColor="text1"/>
          <w14:textFill>
            <w14:solidFill>
              <w14:schemeClr w14:val="tx1"/>
            </w14:solidFill>
          </w14:textFill>
        </w:rPr>
        <w:t>第一节 构建科学生态文明体制</w:t>
      </w:r>
      <w:bookmarkEnd w:id="141"/>
      <w:bookmarkEnd w:id="142"/>
      <w:bookmarkEnd w:id="143"/>
    </w:p>
    <w:p w14:paraId="5E9621CC"/>
    <w:p w14:paraId="25FFD97E">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加强生态环境保护，构建环环相扣、协同联动的全方位防治体系。健全源头预防、过程控制、损害赔偿、责任追究的生态环境保护体系。</w:t>
      </w:r>
    </w:p>
    <w:p w14:paraId="7065D87F">
      <w:pPr>
        <w:widowControl w:val="0"/>
        <w:overflowPunct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全面建立资源高效利用制度。</w:t>
      </w:r>
      <w:r>
        <w:rPr>
          <w:rFonts w:hint="eastAsia" w:ascii="Times New Roman" w:hAnsi="Times New Roman" w:eastAsia="方正仿宋简体" w:cs="仿宋"/>
          <w:color w:val="000000" w:themeColor="text1"/>
          <w:sz w:val="32"/>
          <w:szCs w:val="32"/>
          <w14:textFill>
            <w14:solidFill>
              <w14:schemeClr w14:val="tx1"/>
            </w14:solidFill>
          </w14:textFill>
        </w:rPr>
        <w:t>健全自然资源产权制度与体系，推动自然资源所有权与使用权分离，明确自然资源使用者的具体责任和权利，划清各类自然资源使用权、所有权的边界，形成归属清晰、权责明确、监督有效的基础性生态文明制度。健全资源节约集约循环利用政策体系，实行资源总量管理和全面节约制度。树立节约集约循环利用的资源观，提升人民群众资源节约和生态环境保护意识。落实资源有偿使用制度，确保自然资源合理配置，防止资源浪费现象。</w:t>
      </w:r>
    </w:p>
    <w:p w14:paraId="1A685898">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健全生态保护和修复制度。</w:t>
      </w:r>
      <w:r>
        <w:rPr>
          <w:rFonts w:hint="eastAsia" w:ascii="Times New Roman" w:hAnsi="Times New Roman" w:eastAsia="方正仿宋简体" w:cs="仿宋"/>
          <w:color w:val="000000" w:themeColor="text1"/>
          <w:sz w:val="32"/>
          <w:szCs w:val="32"/>
          <w14:textFill>
            <w14:solidFill>
              <w14:schemeClr w14:val="tx1"/>
            </w14:solidFill>
          </w14:textFill>
        </w:rPr>
        <w:t>加强生态环境的全程保护，建立生产、生活、生态三方综合立体的源头防控，构建事前预防、过程监督和事后追责的生态保护机制。</w:t>
      </w:r>
      <w:r>
        <w:rPr>
          <w:rFonts w:hint="eastAsia" w:ascii="Times New Roman" w:hAnsi="Times New Roman" w:eastAsia="方正仿宋简体" w:cs="仿宋"/>
          <w:color w:val="000000" w:themeColor="text1"/>
          <w:kern w:val="2"/>
          <w:sz w:val="32"/>
          <w:szCs w:val="32"/>
          <w14:textFill>
            <w14:solidFill>
              <w14:schemeClr w14:val="tx1"/>
            </w14:solidFill>
          </w14:textFill>
        </w:rPr>
        <w:t>基于资源环境的承载能力，协同推动生态环境保护和修复，促进绿色可持续发展。强化自然资源整体保护，运用系统思维方法，统筹山水林田湖草一体化保护和修复，加强紫帽山、晋江流域等生态保护和系统治理，维护自然生态系统的良好运转。筑牢生态安全屏障，严惩毁林开荒等生态破坏行为，坚持谁破坏、谁赔偿的原则，形成严密高效的制度安排。</w:t>
      </w:r>
    </w:p>
    <w:p w14:paraId="7F4691F8">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严明生态环境保护责任制度。</w:t>
      </w:r>
      <w:r>
        <w:rPr>
          <w:rFonts w:hint="eastAsia" w:ascii="Times New Roman" w:hAnsi="Times New Roman" w:eastAsia="方正仿宋简体" w:cs="仿宋"/>
          <w:color w:val="000000" w:themeColor="text1"/>
          <w:kern w:val="2"/>
          <w:sz w:val="32"/>
          <w:szCs w:val="32"/>
          <w14:textFill>
            <w14:solidFill>
              <w14:schemeClr w14:val="tx1"/>
            </w14:solidFill>
          </w14:textFill>
        </w:rPr>
        <w:t>落实生态补偿和生态环境损害赔偿制度，建立健全多元化生态补偿和环境损害赔偿方面的法律制度、评估方法和实施机制，强化生产者环境保护法律责任，大幅度提高违法成本。建立生态文明建设目标评价考核制度，将环境损害、资源消耗、生态效益等一系列体现生态文明建设的指标纳入</w:t>
      </w:r>
      <w:r>
        <w:rPr>
          <w:rFonts w:ascii="Times New Roman" w:hAnsi="Times New Roman" w:eastAsia="方正仿宋简体" w:cs="仿宋"/>
          <w:color w:val="000000" w:themeColor="text1"/>
          <w:kern w:val="2"/>
          <w:sz w:val="32"/>
          <w:szCs w:val="32"/>
          <w14:textFill>
            <w14:solidFill>
              <w14:schemeClr w14:val="tx1"/>
            </w14:solidFill>
          </w14:textFill>
        </w:rPr>
        <w:t>经济社会发展评价体系</w:t>
      </w:r>
      <w:r>
        <w:rPr>
          <w:rFonts w:hint="eastAsia" w:ascii="Times New Roman" w:hAnsi="Times New Roman" w:eastAsia="方正仿宋简体" w:cs="仿宋"/>
          <w:color w:val="000000" w:themeColor="text1"/>
          <w:kern w:val="2"/>
          <w:sz w:val="32"/>
          <w:szCs w:val="32"/>
          <w14:textFill>
            <w14:solidFill>
              <w14:schemeClr w14:val="tx1"/>
            </w14:solidFill>
          </w14:textFill>
        </w:rPr>
        <w:t>，根据生态环境责任履行情况对相应主体进行责任追究，加强监管与整治力度。</w:t>
      </w:r>
    </w:p>
    <w:p w14:paraId="4EBD8464">
      <w:pPr>
        <w:pStyle w:val="22"/>
        <w:widowControl w:val="0"/>
        <w:overflowPunct w:val="0"/>
        <w:spacing w:before="0" w:beforeAutospacing="0" w:after="0" w:afterAutospacing="0" w:line="590" w:lineRule="exact"/>
        <w:ind w:firstLine="640"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p>
    <w:p w14:paraId="2C97BDCD">
      <w:pPr>
        <w:pStyle w:val="3"/>
        <w:keepNext w:val="0"/>
        <w:keepLines w:val="0"/>
        <w:overflowPunct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144" w:name="_Toc59811678"/>
      <w:bookmarkStart w:id="145" w:name="_Toc74035515"/>
      <w:bookmarkStart w:id="146" w:name="_Toc73976163"/>
      <w:r>
        <w:rPr>
          <w:rFonts w:hint="eastAsia" w:ascii="黑体" w:hAnsi="黑体" w:eastAsia="黑体" w:cs="Times New Roman (标题 CS)"/>
          <w:b w:val="0"/>
          <w:color w:val="000000" w:themeColor="text1"/>
          <w14:textFill>
            <w14:solidFill>
              <w14:schemeClr w14:val="tx1"/>
            </w14:solidFill>
          </w14:textFill>
        </w:rPr>
        <w:t>第二节 发展绿色低碳生态模式</w:t>
      </w:r>
      <w:bookmarkEnd w:id="144"/>
      <w:bookmarkEnd w:id="145"/>
      <w:bookmarkEnd w:id="146"/>
    </w:p>
    <w:p w14:paraId="00DB8FF6"/>
    <w:p w14:paraId="36390FC3">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以资源节约、环境友好为导向，以绿色技术创新为驱动，以绿色低碳循环的产业体系为核心，统筹推动绿色低碳循环的产业发展、技术创新、产品供给、基础设施建设、市场培育与商业模式创新，保持经济高质量发展。</w:t>
      </w:r>
    </w:p>
    <w:p w14:paraId="600D4315">
      <w:pPr>
        <w:widowControl w:val="0"/>
        <w:overflowPunct w:val="0"/>
        <w:spacing w:line="57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落实主体功能区规划。</w:t>
      </w:r>
      <w:r>
        <w:rPr>
          <w:rFonts w:hint="eastAsia" w:ascii="Times New Roman" w:hAnsi="Times New Roman" w:eastAsia="方正仿宋简体" w:cs="仿宋"/>
          <w:color w:val="000000" w:themeColor="text1"/>
          <w:sz w:val="32"/>
          <w:szCs w:val="32"/>
          <w14:textFill>
            <w14:solidFill>
              <w14:schemeClr w14:val="tx1"/>
            </w14:solidFill>
          </w14:textFill>
        </w:rPr>
        <w:t>依据城市功能定位让不同的区域承担不同的功能，宜工则工、宜生态则生态，形成各具特色、有机统一的生态大系统。加快建立健全国土空间规划和用途统筹协调管控制度，统筹划定落实生态保护红线、城市开发边界等空间管控边界以及各类水域保护线，使生态安全得到全面保障。综合考虑人口分布、经济布局、国土利用、生态环境保护等因素，科学布局生产空间、生活空间、生态空间，推动绿色转型发展，尊重自然规律、经济规律、社会规律和城市发展规律，坚持节约优先、保护优先、自然恢复为主的方针，在资源环境承载能力和国土空间开发适宜性评价基础上进行经济社会建设。</w:t>
      </w:r>
    </w:p>
    <w:p w14:paraId="2BF057C7">
      <w:pPr>
        <w:widowControl w:val="0"/>
        <w:overflowPunct w:val="0"/>
        <w:spacing w:line="57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聚焦产业绿色转型发展。</w:t>
      </w:r>
      <w:r>
        <w:rPr>
          <w:rFonts w:hint="eastAsia" w:ascii="Times New Roman" w:hAnsi="Times New Roman" w:eastAsia="方正仿宋简体" w:cs="仿宋"/>
          <w:color w:val="000000" w:themeColor="text1"/>
          <w:sz w:val="32"/>
          <w:szCs w:val="32"/>
          <w14:textFill>
            <w14:solidFill>
              <w14:schemeClr w14:val="tx1"/>
            </w14:solidFill>
          </w14:textFill>
        </w:rPr>
        <w:t>以产业转型作为推动绿色转型发展的“内核”，按照产业生态化、生态产业化的基本思路，正确把握和处理巩固提升传统产业和培育发展新兴产业的关系，培育壮大节能环保产业、清洁生产产业、清洁能源产业，发展高效先进制造业、现代服务业，集中精力促进资源型产业绿色循环低碳化改造。充分利用数字技术赋能传统产业绿色转型，着力推动区域优势特色产业智能化改造，发展融合型数字经济，激发转型升级新动能。通过把绿色化、数字化、智能化贯穿到三次产业各方面和全过程，加快形成符合战略定位、体现地区特色，多元发展、多极支撑、互融互通的产业新体系。</w:t>
      </w:r>
      <w:bookmarkStart w:id="147" w:name="_Toc59811679"/>
    </w:p>
    <w:p w14:paraId="6447F825">
      <w:pPr>
        <w:widowControl w:val="0"/>
        <w:overflowPunct w:val="0"/>
        <w:spacing w:line="57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p w14:paraId="26F84607">
      <w:pPr>
        <w:widowControl w:val="0"/>
        <w:overflowPunct w:val="0"/>
        <w:spacing w:line="570" w:lineRule="exact"/>
        <w:jc w:val="center"/>
        <w:rPr>
          <w:rFonts w:ascii="Times New Roman" w:hAnsi="Times New Roman" w:eastAsia="方正黑体简体" w:cs="Times New Roman (标题 CS)"/>
          <w:color w:val="000000" w:themeColor="text1"/>
          <w:sz w:val="32"/>
          <w:szCs w:val="32"/>
          <w14:textFill>
            <w14:solidFill>
              <w14:schemeClr w14:val="tx1"/>
            </w14:solidFill>
          </w14:textFill>
        </w:rPr>
      </w:pPr>
      <w:r>
        <w:rPr>
          <w:rFonts w:hint="eastAsia" w:ascii="Times New Roman" w:hAnsi="Times New Roman" w:eastAsia="方正黑体简体" w:cs="Times New Roman (标题 CS)"/>
          <w:color w:val="000000" w:themeColor="text1"/>
          <w:sz w:val="32"/>
          <w:szCs w:val="32"/>
          <w14:textFill>
            <w14:solidFill>
              <w14:schemeClr w14:val="tx1"/>
            </w14:solidFill>
          </w14:textFill>
        </w:rPr>
        <w:t>第三节 加强生态环境综合治理</w:t>
      </w:r>
      <w:bookmarkEnd w:id="147"/>
    </w:p>
    <w:p w14:paraId="5C123F9A">
      <w:pPr>
        <w:widowControl w:val="0"/>
        <w:overflowPunct w:val="0"/>
        <w:spacing w:line="570" w:lineRule="exact"/>
        <w:jc w:val="center"/>
        <w:rPr>
          <w:rFonts w:ascii="Times New Roman" w:hAnsi="Times New Roman" w:eastAsia="方正黑体简体" w:cs="Times New Roman (标题 CS)"/>
          <w:color w:val="000000" w:themeColor="text1"/>
          <w:sz w:val="32"/>
          <w:szCs w:val="32"/>
          <w14:textFill>
            <w14:solidFill>
              <w14:schemeClr w14:val="tx1"/>
            </w14:solidFill>
          </w14:textFill>
        </w:rPr>
      </w:pPr>
    </w:p>
    <w:p w14:paraId="1B501F47">
      <w:pPr>
        <w:widowControl w:val="0"/>
        <w:overflowPunct w:val="0"/>
        <w:autoSpaceDE w:val="0"/>
        <w:autoSpaceDN w:val="0"/>
        <w:snapToGrid w:val="0"/>
        <w:spacing w:line="57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着力打好蓝天、碧水、净土保卫战，坚持污染减排和生态扩容两手发力，改善大气环境质量，加强水生态系统整治。有效管控生态保护区和城市建设用地土壤环境风险。</w:t>
      </w:r>
    </w:p>
    <w:p w14:paraId="7EF187F5">
      <w:pPr>
        <w:pStyle w:val="61"/>
        <w:overflowPunct w:val="0"/>
        <w:spacing w:line="590" w:lineRule="exact"/>
        <w:ind w:firstLine="643"/>
        <w:rPr>
          <w:rFonts w:ascii="Times New Roman" w:hAnsi="Times New Roman" w:eastAsia="方正仿宋简体" w:cs="宋体"/>
          <w:color w:val="000000" w:themeColor="text1"/>
          <w:kern w:val="0"/>
          <w:szCs w:val="32"/>
          <w14:textFill>
            <w14:solidFill>
              <w14:schemeClr w14:val="tx1"/>
            </w14:solidFill>
          </w14:textFill>
        </w:rPr>
      </w:pPr>
      <w:r>
        <w:rPr>
          <w:rFonts w:hint="eastAsia" w:ascii="Times New Roman" w:hAnsi="Times New Roman" w:eastAsia="方正仿宋简体"/>
          <w:b/>
          <w:bCs/>
        </w:rPr>
        <w:t>加强大气环境污染防控。</w:t>
      </w:r>
      <w:r>
        <w:rPr>
          <w:rFonts w:hint="eastAsia" w:ascii="Times New Roman" w:hAnsi="Times New Roman" w:eastAsia="方正仿宋简体" w:cs="宋体"/>
          <w:color w:val="000000" w:themeColor="text1"/>
          <w:kern w:val="0"/>
          <w:szCs w:val="32"/>
          <w14:textFill>
            <w14:solidFill>
              <w14:schemeClr w14:val="tx1"/>
            </w14:solidFill>
          </w14:textFill>
        </w:rPr>
        <w:t>实施区域联防联控和轻微污染天气应对机制，加强空气质量会商、污染天气预警。不断完善污染天气联防联控工作机制，强化应急联动，提高大气污染防控水平。常态化实施大气污染防控百日攻坚专项行动，保障环境空气质量。加强工业废气污染防治，以“一厂一策、一园一策、一行一策分步实施”为导向，持续推进重点工业企业废气治理，加大对涉气工业污染的环境监管力度。加强非工业扬尘污染防治，严格控制施工扬尘、道路扬尘、运输扬尘、堆场扬尘、绿带积尘、裸地扬尘等城市扬尘污染，对违反大气污染防治法的行为，依法依规严惩重罚。加强生活废气污染防治，严格餐饮油烟监管，重点加强夜市大排档、烧烤摊点油烟无组织排放整治，严格控制露天烧烤，划定餐饮禁设区。</w:t>
      </w:r>
    </w:p>
    <w:p w14:paraId="239AF05F">
      <w:pPr>
        <w:pStyle w:val="61"/>
        <w:overflowPunct w:val="0"/>
        <w:spacing w:line="590" w:lineRule="exact"/>
        <w:ind w:firstLine="643"/>
        <w:rPr>
          <w:rFonts w:ascii="Times New Roman" w:hAnsi="Times New Roman" w:eastAsia="方正仿宋简体"/>
        </w:rPr>
      </w:pPr>
      <w:r>
        <w:rPr>
          <w:rFonts w:hint="eastAsia" w:ascii="Times New Roman" w:hAnsi="Times New Roman" w:eastAsia="方正仿宋简体"/>
          <w:b/>
        </w:rPr>
        <w:t>推进水体生态保护治理。</w:t>
      </w:r>
      <w:r>
        <w:rPr>
          <w:rFonts w:hint="eastAsia" w:ascii="Times New Roman" w:hAnsi="Times New Roman" w:eastAsia="方正仿宋简体"/>
        </w:rPr>
        <w:t>坚持水污染治理、水环境保护、水生态建设“三位一体”，统筹抓好水环境问题整改与水生态修复。全面加强饮用水水源地保护，以保障饮用水水源安全为重点，定期不定期对晋江干流和南高干渠水源保护区开展饮用水水源保护专项行动。强化水污染事故预防和水源突发事件应急处理的能力，配合开展饮用水水源保护区划定工作，因地制宜进行水源安全防护、生态修复和水源涵养等工程建设。加强排水企业监管，实行污染物排放总量控制，严厉打击排水企业违法排污行为。强化水环境系统治理，做细做实河长制工作，确保水清河畅，持续巩固深化黑臭水体治理成效，深入开展入河排污口整治。逐步开展入河排污口“三个一”工程（即封堵一批、整治一批、规范一批），同步完成统一规范的排污口标志牌设置。</w:t>
      </w:r>
    </w:p>
    <w:p w14:paraId="2DA73CB4">
      <w:pPr>
        <w:widowControl w:val="0"/>
        <w:overflowPunct w:val="0"/>
        <w:autoSpaceDE w:val="0"/>
        <w:autoSpaceDN w:val="0"/>
        <w:snapToGrid w:val="0"/>
        <w:spacing w:line="590" w:lineRule="exact"/>
        <w:ind w:firstLine="643" w:firstLineChars="200"/>
        <w:jc w:val="both"/>
        <w:rPr>
          <w:rFonts w:ascii="Times New Roman" w:hAnsi="Times New Roman" w:eastAsia="方正仿宋简体"/>
          <w:bCs/>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强化土壤生态保护治理</w:t>
      </w:r>
      <w:r>
        <w:rPr>
          <w:rFonts w:hint="eastAsia" w:ascii="Times New Roman" w:hAnsi="Times New Roman" w:eastAsia="方正仿宋简体"/>
          <w:bCs/>
          <w:color w:val="000000" w:themeColor="text1"/>
          <w:sz w:val="32"/>
          <w:szCs w:val="32"/>
          <w14:textFill>
            <w14:solidFill>
              <w14:schemeClr w14:val="tx1"/>
            </w14:solidFill>
          </w14:textFill>
        </w:rPr>
        <w:t>。优先保护农用地环境质量，推进测土配方施肥和农作物病虫害统防统治与全程绿色防控，推动化肥、农药使用量实现负增长。持续完善耕地质量监测网络建设，加强农田灌溉用水监测监管，开展农用地周边污染源排查。全面落实建设用地准入管理，严格执行建设用地场地调查评估、风险管控和治理修复制度，逐步推进土地永续利用。有序推进土壤污染治理与修复，支持土壤污染修复试点示范工程建设。严格环境准入，全区禁止新建涉铅、汞、镉、铬和类金属砷等重点重金属行业项目。常态化开展医疗废物和危险废物专项监督检查，规范危险废物和医疗废物转移和处置，严厉打击非法转移、倾倒和处置危险废物的违法行为。</w:t>
      </w:r>
    </w:p>
    <w:p w14:paraId="47AC78E4">
      <w:pPr>
        <w:widowControl w:val="0"/>
        <w:overflowPunct w:val="0"/>
        <w:autoSpaceDE w:val="0"/>
        <w:autoSpaceDN w:val="0"/>
        <w:snapToGrid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p>
    <w:p w14:paraId="75FDA7A2">
      <w:pPr>
        <w:pStyle w:val="3"/>
        <w:keepNext w:val="0"/>
        <w:keepLines w:val="0"/>
        <w:overflowPunct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148" w:name="_Toc59811680"/>
      <w:bookmarkStart w:id="149" w:name="_Toc73976164"/>
      <w:bookmarkStart w:id="150" w:name="_Toc74035516"/>
      <w:r>
        <w:rPr>
          <w:rFonts w:hint="eastAsia" w:ascii="黑体" w:hAnsi="黑体" w:eastAsia="黑体" w:cs="Times New Roman (标题 CS)"/>
          <w:b w:val="0"/>
          <w:color w:val="000000" w:themeColor="text1"/>
          <w14:textFill>
            <w14:solidFill>
              <w14:schemeClr w14:val="tx1"/>
            </w14:solidFill>
          </w14:textFill>
        </w:rPr>
        <w:t>第四节 建设绿色生态宜居城市</w:t>
      </w:r>
      <w:bookmarkEnd w:id="148"/>
      <w:bookmarkEnd w:id="149"/>
      <w:bookmarkEnd w:id="150"/>
    </w:p>
    <w:p w14:paraId="1704D55F"/>
    <w:p w14:paraId="73848158">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加大绿色生态宜居城市建设力度，厘清鲤城“山水城”格局关系，构建连续性、多层级的生态廊道，打造紫帽山-晋江-清源山生态通廊，重塑城市水绿空间，建设沿晋江两岸生态景观走廊。</w:t>
      </w:r>
    </w:p>
    <w:p w14:paraId="0EBAEE72">
      <w:pPr>
        <w:widowControl w:val="0"/>
        <w:overflowPunct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构建“山水城”协同生态格局。</w:t>
      </w:r>
      <w:r>
        <w:rPr>
          <w:rFonts w:hint="eastAsia" w:ascii="Times New Roman" w:hAnsi="Times New Roman" w:eastAsia="方正仿宋简体" w:cs="仿宋"/>
          <w:color w:val="000000" w:themeColor="text1"/>
          <w:sz w:val="32"/>
          <w:szCs w:val="32"/>
          <w14:textFill>
            <w14:solidFill>
              <w14:schemeClr w14:val="tx1"/>
            </w14:solidFill>
          </w14:textFill>
        </w:rPr>
        <w:t>结合鲤城山水生态本底，优化生态结构，连通重要水系、生态绿廊及道路景观廊道，规划形成“山水城”协同发展的生态格局。积极构建</w:t>
      </w:r>
      <w:bookmarkStart w:id="151" w:name="_Hlk58526502"/>
      <w:r>
        <w:rPr>
          <w:rFonts w:hint="eastAsia" w:ascii="Times New Roman" w:hAnsi="Times New Roman" w:eastAsia="方正仿宋简体" w:cs="仿宋"/>
          <w:color w:val="000000" w:themeColor="text1"/>
          <w:sz w:val="32"/>
          <w:szCs w:val="32"/>
          <w14:textFill>
            <w14:solidFill>
              <w14:schemeClr w14:val="tx1"/>
            </w14:solidFill>
          </w14:textFill>
        </w:rPr>
        <w:t>晋江滨江景观、南低渠-南高渠、紫帽山-乌石山</w:t>
      </w:r>
      <w:bookmarkEnd w:id="151"/>
      <w:r>
        <w:rPr>
          <w:rFonts w:hint="eastAsia" w:ascii="Times New Roman" w:hAnsi="Times New Roman" w:eastAsia="方正仿宋简体" w:cs="仿宋"/>
          <w:color w:val="000000" w:themeColor="text1"/>
          <w:sz w:val="32"/>
          <w:szCs w:val="32"/>
          <w14:textFill>
            <w14:solidFill>
              <w14:schemeClr w14:val="tx1"/>
            </w14:solidFill>
          </w14:textFill>
        </w:rPr>
        <w:t>三大</w:t>
      </w:r>
      <w:bookmarkStart w:id="152" w:name="_Hlk58526526"/>
      <w:r>
        <w:rPr>
          <w:rFonts w:hint="eastAsia" w:ascii="Times New Roman" w:hAnsi="Times New Roman" w:eastAsia="方正仿宋简体" w:cs="仿宋"/>
          <w:color w:val="000000" w:themeColor="text1"/>
          <w:sz w:val="32"/>
          <w:szCs w:val="32"/>
          <w14:textFill>
            <w14:solidFill>
              <w14:schemeClr w14:val="tx1"/>
            </w14:solidFill>
          </w14:textFill>
        </w:rPr>
        <w:t>生态圈层</w:t>
      </w:r>
      <w:bookmarkEnd w:id="152"/>
      <w:r>
        <w:rPr>
          <w:rFonts w:hint="eastAsia" w:ascii="Times New Roman" w:hAnsi="Times New Roman" w:eastAsia="方正仿宋简体" w:cs="仿宋"/>
          <w:color w:val="000000" w:themeColor="text1"/>
          <w:sz w:val="32"/>
          <w:szCs w:val="32"/>
          <w14:textFill>
            <w14:solidFill>
              <w14:schemeClr w14:val="tx1"/>
            </w14:solidFill>
          </w14:textFill>
        </w:rPr>
        <w:t>，实施环境提升工程，推动退岸还绿、拆乱植绿、治污兴绿，构建“生态带、微绿地、大通道”相互衔接的空间结构。加快建设公园城市，划定“开放空间-公园-廊道”的绿地系统，识别并保留鲤城山、水、林、田、湖、草等生态斑块，建设由郊野山地公园、滨江公园、城市级公园以及绿廊、绿楔共同构成的城市公园体系。在紫帽山、乌石山等区域规划山地公园，引领健康、生态的城市生活；在古城结合城市更新打造一系列小微社区公园，增加居民日常户外活动场所；在江南新区强化城市空间和晋江之间的生态联系，加快晋江南岸（鲤城段）整治及景观提升项目，加强楔形绿地建设，改善城市的微气候，建设与自然环境和谐共生的公园城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8"/>
      </w:tblGrid>
      <w:tr w14:paraId="7C86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shd w:val="clear" w:color="auto" w:fill="auto"/>
          </w:tcPr>
          <w:p w14:paraId="5B913A95">
            <w:pPr>
              <w:pStyle w:val="22"/>
              <w:widowControl w:val="0"/>
              <w:shd w:val="clear" w:color="auto" w:fill="FFFFFF"/>
              <w:spacing w:before="0" w:beforeAutospacing="0" w:after="0" w:afterAutospacing="0"/>
              <w:jc w:val="center"/>
              <w:rPr>
                <w:rFonts w:ascii="Times New Roman" w:hAnsi="Times New Roman" w:eastAsia="方正仿宋简体" w:cs="仿宋"/>
                <w:b/>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t>专栏21 构建城市三大生态圈层</w:t>
            </w:r>
          </w:p>
        </w:tc>
      </w:tr>
      <w:tr w14:paraId="727B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shd w:val="clear" w:color="auto" w:fill="auto"/>
          </w:tcPr>
          <w:p w14:paraId="3EE8E583">
            <w:pPr>
              <w:widowControl w:val="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bCs/>
                <w:color w:val="000000" w:themeColor="text1"/>
                <w:szCs w:val="32"/>
                <w14:textFill>
                  <w14:solidFill>
                    <w14:schemeClr w14:val="tx1"/>
                  </w14:solidFill>
                </w14:textFill>
              </w:rPr>
              <w:t>滨江景观生态圈层</w:t>
            </w:r>
            <w:r>
              <w:rPr>
                <w:rFonts w:hint="eastAsia" w:ascii="Times New Roman" w:hAnsi="Times New Roman" w:eastAsia="方正仿宋简体" w:cs="仿宋"/>
                <w:color w:val="000000" w:themeColor="text1"/>
                <w:szCs w:val="32"/>
                <w14:textFill>
                  <w14:solidFill>
                    <w14:schemeClr w14:val="tx1"/>
                  </w14:solidFill>
                </w14:textFill>
              </w:rPr>
              <w:t>：主要以晋江南岸生态公园为依托，结合站前大道西侧现存的山头绿地，打造滨江景观带、中央公园等组成的生态圈层。重点启动晋江南岸生态公园、繁荣片区-站前片区城市核心中央公园等生态环境提升工程项目，推进玉田渠清淤整治工程进度。</w:t>
            </w:r>
          </w:p>
          <w:p w14:paraId="6A23130D">
            <w:pPr>
              <w:widowControl w:val="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bCs/>
                <w:color w:val="000000" w:themeColor="text1"/>
                <w:szCs w:val="32"/>
                <w14:textFill>
                  <w14:solidFill>
                    <w14:schemeClr w14:val="tx1"/>
                  </w14:solidFill>
                </w14:textFill>
              </w:rPr>
              <w:t>南低渠-南高渠生态圈层</w:t>
            </w:r>
            <w:r>
              <w:rPr>
                <w:rFonts w:hint="eastAsia" w:ascii="Times New Roman" w:hAnsi="Times New Roman" w:eastAsia="方正仿宋简体" w:cs="仿宋"/>
                <w:color w:val="000000" w:themeColor="text1"/>
                <w:szCs w:val="32"/>
                <w14:textFill>
                  <w14:solidFill>
                    <w14:schemeClr w14:val="tx1"/>
                  </w14:solidFill>
                </w14:textFill>
              </w:rPr>
              <w:t>：主要分布于两渠之间，呈“马蹄状”，涵盖生态河道景观、串联起树兜-五星-古店-高山沿线分布的古厝群，打造滨水、慢行系统的海丝文化走廊。重点启动江南水系及慢生活空间整治提升策划研究、高山古建筑群保护与开发利用。</w:t>
            </w:r>
          </w:p>
          <w:p w14:paraId="5210281F">
            <w:pPr>
              <w:widowControl w:val="0"/>
              <w:ind w:firstLine="562" w:firstLineChars="200"/>
              <w:jc w:val="both"/>
              <w:rPr>
                <w:rFonts w:ascii="Times New Roman" w:hAnsi="Times New Roman" w:eastAsia="方正仿宋简体" w:cs="仿宋"/>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bCs/>
                <w:color w:val="000000" w:themeColor="text1"/>
                <w:szCs w:val="32"/>
                <w14:textFill>
                  <w14:solidFill>
                    <w14:schemeClr w14:val="tx1"/>
                  </w14:solidFill>
                </w14:textFill>
              </w:rPr>
              <w:t>紫帽山-乌石山生态圈层</w:t>
            </w:r>
            <w:r>
              <w:rPr>
                <w:rFonts w:hint="eastAsia" w:ascii="Times New Roman" w:hAnsi="Times New Roman" w:eastAsia="方正仿宋简体" w:cs="仿宋"/>
                <w:color w:val="000000" w:themeColor="text1"/>
                <w:szCs w:val="32"/>
                <w14:textFill>
                  <w14:solidFill>
                    <w14:schemeClr w14:val="tx1"/>
                  </w14:solidFill>
                </w14:textFill>
              </w:rPr>
              <w:t>：主要包括紫帽山-乌石山现状山体和林地、亭店杨阿苗故居文化区，重点建设乌石山滞洪区、登山步行道和杨阿苗故居展示区。把紫帽山和乌石山作为城市公园进行规划建设。</w:t>
            </w:r>
          </w:p>
        </w:tc>
      </w:tr>
    </w:tbl>
    <w:p w14:paraId="14FFE079">
      <w:pPr>
        <w:widowControl w:val="0"/>
        <w:autoSpaceDE w:val="0"/>
        <w:autoSpaceDN w:val="0"/>
        <w:snapToGrid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加快推进海绵城市规划建设。</w:t>
      </w:r>
      <w:r>
        <w:rPr>
          <w:rFonts w:hint="eastAsia" w:ascii="Times New Roman" w:hAnsi="Times New Roman" w:eastAsia="方正仿宋简体"/>
          <w:color w:val="000000" w:themeColor="text1"/>
          <w:sz w:val="32"/>
          <w:szCs w:val="32"/>
          <w14:textFill>
            <w14:solidFill>
              <w14:schemeClr w14:val="tx1"/>
            </w14:solidFill>
          </w14:textFill>
        </w:rPr>
        <w:t>统筹推进古城新区海绵城市建设，全面落实海绵城市建设要求。结合江南新区的片区改造和古城保护提升、老旧小区有机更新等，推进区域整体治理，增加绿地面积，逐步实现小雨不积水、大雨不内涝、水体不黑臭、热岛有缓解。大力推进城市排水防涝设施的达标建设，加快改造和消除城市易涝点；加快建设和改造晋江等河流沿岸截流干管，控制渗漏和合流制污水溢流污染。结合雨水利用、排水防涝等要求，科学布局建设旁侧湖、滞水塘、调蓄池、蓄水池等雨水调蓄设施，有条件的可建设地下蓄水储水设施，增加对雨洪径流的滞蓄和承泄能力，建成较为完善的排水防涝系统。</w:t>
      </w:r>
    </w:p>
    <w:tbl>
      <w:tblPr>
        <w:tblStyle w:val="26"/>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6"/>
      </w:tblGrid>
      <w:tr w14:paraId="08D2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6" w:type="dxa"/>
            <w:shd w:val="clear" w:color="auto" w:fill="auto"/>
          </w:tcPr>
          <w:p w14:paraId="29E8263D">
            <w:pPr>
              <w:pStyle w:val="22"/>
              <w:widowControl w:val="0"/>
              <w:shd w:val="clear" w:color="auto" w:fill="FFFFFF"/>
              <w:spacing w:before="0" w:beforeAutospacing="0" w:after="0" w:afterAutospacing="0"/>
              <w:jc w:val="center"/>
              <w:rPr>
                <w:rFonts w:ascii="Times New Roman" w:hAnsi="Times New Roman" w:eastAsia="方正仿宋简体" w:cs="仿宋"/>
                <w:b/>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t>专栏22 生态环保建设任务</w:t>
            </w:r>
          </w:p>
        </w:tc>
      </w:tr>
      <w:tr w14:paraId="1BAD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6" w:type="dxa"/>
            <w:shd w:val="clear" w:color="auto" w:fill="auto"/>
          </w:tcPr>
          <w:p w14:paraId="04FDC958">
            <w:pPr>
              <w:widowControl w:val="0"/>
              <w:ind w:firstLine="480"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color w:val="000000" w:themeColor="text1"/>
                <w:szCs w:val="32"/>
                <w14:textFill>
                  <w14:solidFill>
                    <w14:schemeClr w14:val="tx1"/>
                  </w14:solidFill>
                </w14:textFill>
              </w:rPr>
              <w:t>有序推进区域整体治理，加快打造城市公园体系，统筹推进古城新区海绵城市建设，提升完善排水防涝系统，提升绿色生态宜居水平。初步建立生态价值实现机制，探索“绿水青山就是金山银山”的实践创新基地建设，“十四五”期间重点推动南环路等易涝积水点整治，缓解城市内涝。逐步推进中心市区内沟河综合整治提升工程、兴贤路西段排水管沟工程、东浦引港整治工程、江南公园水系整治工程等建设，拓宽玉田渠、繁荣渠、新步排洪渠、洋屿水渠、南低渠东浦段等5条渠道宽度，建设乌石山滞洪区。</w:t>
            </w:r>
          </w:p>
        </w:tc>
      </w:tr>
    </w:tbl>
    <w:p w14:paraId="4FCE1E2B">
      <w:pPr>
        <w:pStyle w:val="2"/>
        <w:spacing w:before="211" w:beforeLines="50" w:after="211" w:afterLines="50" w:line="580" w:lineRule="exact"/>
        <w:ind w:firstLine="0" w:firstLineChars="0"/>
        <w:jc w:val="center"/>
        <w:rPr>
          <w:rFonts w:ascii="Times New Roman" w:hAnsi="Times New Roman" w:eastAsia="方正仿宋简体"/>
          <w:b w:val="0"/>
          <w:bCs/>
          <w:color w:val="000000" w:themeColor="text1"/>
          <w:sz w:val="36"/>
          <w14:textFill>
            <w14:solidFill>
              <w14:schemeClr w14:val="tx1"/>
            </w14:solidFill>
          </w14:textFill>
        </w:rPr>
        <w:sectPr>
          <w:pgSz w:w="11900" w:h="16840"/>
          <w:pgMar w:top="1928" w:right="1474" w:bottom="1701" w:left="1588" w:header="851" w:footer="992" w:gutter="0"/>
          <w:cols w:space="425" w:num="1"/>
          <w:docGrid w:type="lines" w:linePitch="423" w:charSpace="0"/>
        </w:sectPr>
      </w:pPr>
    </w:p>
    <w:p w14:paraId="54F2EB2A">
      <w:pPr>
        <w:pStyle w:val="2"/>
        <w:overflowPunct w:val="0"/>
        <w:spacing w:after="0" w:line="590" w:lineRule="exact"/>
        <w:ind w:firstLine="0" w:firstLineChars="0"/>
        <w:jc w:val="center"/>
        <w:rPr>
          <w:rFonts w:ascii="Times New Roman" w:hAnsi="Times New Roman"/>
          <w:b w:val="0"/>
          <w:bCs/>
          <w:color w:val="000000" w:themeColor="text1"/>
          <w:sz w:val="36"/>
          <w14:textFill>
            <w14:solidFill>
              <w14:schemeClr w14:val="tx1"/>
            </w14:solidFill>
          </w14:textFill>
        </w:rPr>
      </w:pPr>
      <w:bookmarkStart w:id="153" w:name="_Toc59811681"/>
      <w:bookmarkStart w:id="154" w:name="_Toc74035517"/>
      <w:bookmarkStart w:id="155" w:name="_Toc73976165"/>
      <w:r>
        <w:rPr>
          <w:rFonts w:hint="eastAsia" w:ascii="Times New Roman" w:hAnsi="Times New Roman"/>
          <w:b w:val="0"/>
          <w:bCs/>
          <w:color w:val="000000" w:themeColor="text1"/>
          <w:sz w:val="36"/>
          <w14:textFill>
            <w14:solidFill>
              <w14:schemeClr w14:val="tx1"/>
            </w14:solidFill>
          </w14:textFill>
        </w:rPr>
        <w:t>第九章 平安发展，提升区域社会治理现代化水平</w:t>
      </w:r>
      <w:bookmarkEnd w:id="153"/>
      <w:bookmarkEnd w:id="154"/>
      <w:bookmarkEnd w:id="155"/>
    </w:p>
    <w:p w14:paraId="14D85A0D"/>
    <w:p w14:paraId="0951559C">
      <w:pPr>
        <w:widowControl w:val="0"/>
        <w:overflowPunct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加强和创新社会治理，完善党委领导、政府负责、民主协商、社会协同、公众参与、法治保障、科技支撑的社会治理体系。坚守为民初心，以人民利益为出发点，以汇聚民智民力为着力点，以赢得民心民意为落脚点，建设人人有责、人人尽责、人人享有的社会治理共同体，确保人民安居乐业、社会安定有序，建设更高水平的平安鲤城。</w:t>
      </w:r>
    </w:p>
    <w:p w14:paraId="6A6917C5">
      <w:pPr>
        <w:widowControl w:val="0"/>
        <w:overflowPunct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p>
    <w:p w14:paraId="515E3250">
      <w:pPr>
        <w:pStyle w:val="3"/>
        <w:keepNext w:val="0"/>
        <w:keepLines w:val="0"/>
        <w:overflowPunct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156" w:name="_Toc74035518"/>
      <w:bookmarkStart w:id="157" w:name="_Toc59811682"/>
      <w:bookmarkStart w:id="158" w:name="_Toc73976166"/>
      <w:r>
        <w:rPr>
          <w:rFonts w:hint="eastAsia" w:ascii="黑体" w:hAnsi="黑体" w:eastAsia="黑体" w:cs="Times New Roman (标题 CS)"/>
          <w:b w:val="0"/>
          <w:color w:val="000000" w:themeColor="text1"/>
          <w14:textFill>
            <w14:solidFill>
              <w14:schemeClr w14:val="tx1"/>
            </w14:solidFill>
          </w14:textFill>
        </w:rPr>
        <w:t>第一节 构建社会治理协同机制</w:t>
      </w:r>
      <w:bookmarkEnd w:id="156"/>
      <w:bookmarkEnd w:id="157"/>
      <w:bookmarkEnd w:id="158"/>
    </w:p>
    <w:p w14:paraId="414CF022"/>
    <w:p w14:paraId="71D48B0A">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以人民为中心，充分发挥人民的创造力，统筹社会治理各项任务，增强社会治理的整体性和协同性，实现治理要素的深度融合，构建基层社会治理新格局。</w:t>
      </w:r>
    </w:p>
    <w:p w14:paraId="561B5586">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健全完善城区公共安全管理体系。</w:t>
      </w:r>
      <w:r>
        <w:rPr>
          <w:rFonts w:hint="eastAsia" w:ascii="Times New Roman" w:hAnsi="Times New Roman" w:eastAsia="方正仿宋简体" w:cs="仿宋"/>
          <w:color w:val="000000" w:themeColor="text1"/>
          <w:sz w:val="32"/>
          <w:szCs w:val="32"/>
          <w14:textFill>
            <w14:solidFill>
              <w14:schemeClr w14:val="tx1"/>
            </w14:solidFill>
          </w14:textFill>
        </w:rPr>
        <w:t>树立“生命至上、安全第一”理念，完善和落实安全生产责任和管理制度，健全落实党政同责、一岗双责、齐抓共管、失职追责的安全生产责任制。强化企业主体责任、街道属地责任、部门监管责任，压实“从根本上消除事故隐患”的责任链条、制度成果、管理办法、重点工程和工作机制。完善公共卫生、事故灾难和社会安全等突发公共事件监测预警和应急处置机制，健全公共安全应急体系，提高公共安全应急管理水平。建立公共安全隐患排查和安全预防控制体系，着力加强源头治理、提升监管效能、强化保障能力，确保人民群众生命财产安全，形成共建共治共享的城区安全社会治理局面。</w:t>
      </w:r>
    </w:p>
    <w:p w14:paraId="11BF4807">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建立健全治安顽症长效治理机制。</w:t>
      </w:r>
      <w:r>
        <w:rPr>
          <w:rFonts w:hint="eastAsia" w:ascii="Times New Roman" w:hAnsi="Times New Roman" w:eastAsia="方正仿宋简体" w:cs="仿宋"/>
          <w:color w:val="000000" w:themeColor="text1"/>
          <w:sz w:val="32"/>
          <w:szCs w:val="32"/>
          <w14:textFill>
            <w14:solidFill>
              <w14:schemeClr w14:val="tx1"/>
            </w14:solidFill>
          </w14:textFill>
        </w:rPr>
        <w:t>强化重点地区管控，坚持对治安重点地区、重点行业、重点领域开展滚动排查和强力整治，建立健全集整治、管理、建设、服务为一体的长效治理机制，从源头上、根本上解决影响群众安全感的突出治安问题。依法严厉打击多发性、涉众型经济犯罪活动，切实维护良好市场经济秩序。依法严厉查处娱乐休闲服务场所中的违法犯罪活动，扫除“黄、赌、毒”等社会丑恶现象。开展“扫黄打非”行动，规范文化市场秩序。加强校园及周边治安防范管理，保障师生安全。</w:t>
      </w:r>
    </w:p>
    <w:p w14:paraId="32ADDE0B">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完善立体化社会治安防控体系。</w:t>
      </w:r>
      <w:r>
        <w:rPr>
          <w:rFonts w:hint="eastAsia" w:ascii="Times New Roman" w:hAnsi="Times New Roman" w:eastAsia="方正仿宋简体" w:cs="仿宋"/>
          <w:color w:val="000000" w:themeColor="text1"/>
          <w:sz w:val="32"/>
          <w:szCs w:val="32"/>
          <w14:textFill>
            <w14:solidFill>
              <w14:schemeClr w14:val="tx1"/>
            </w14:solidFill>
          </w14:textFill>
        </w:rPr>
        <w:t>加强重点商圈“联勤联动”防控模式，深入推进治安巡逻防控、武装应急处突、群防群治守护“三张网”建设，加强警力、科技投入，建立健全巡逻联勤机制、应急处突机制、网上网下打防管控一体化机制。结合“智慧城市”建设，大力推进公共安全视频监控建设联网应用工作，大力加强小区技防、物防建设，到2025年基本实现“全域覆盖、全网共享、全时可用、全程可控”目标。</w:t>
      </w:r>
    </w:p>
    <w:p w14:paraId="04B42547">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spacing w:val="-6"/>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健全完善矛盾纠纷多元化解机制。</w:t>
      </w:r>
      <w:r>
        <w:rPr>
          <w:rFonts w:hint="eastAsia" w:ascii="Times New Roman" w:hAnsi="Times New Roman" w:eastAsia="方正仿宋简体" w:cs="仿宋"/>
          <w:color w:val="000000" w:themeColor="text1"/>
          <w:sz w:val="32"/>
          <w:szCs w:val="32"/>
          <w14:textFill>
            <w14:solidFill>
              <w14:schemeClr w14:val="tx1"/>
            </w14:solidFill>
          </w14:textFill>
        </w:rPr>
        <w:t>坚持发展新时代“枫桥经验”，深化信访制度改革，加强信访法治化建设，把依法处理和多元化解结合起来，完善社会矛盾排查预警和调处化解综合机制，构建多元化纠纷解决体系，为群众提供多元、便捷的纠纷解决方式。充分发挥人民调解的基础性作用，不断加强人民调解、行政调解、司法调解工作联动，深化司法所、公安派出所和律师所三所联动工作机制，化解社区矛盾，深化具有鲤城特色的大调解工作体系建设，构建广泛发动人大代表、政协委员、律师、法律工作者等社会力量参与纠纷化解的制度化渠道，重点推动行业性、专业性调解组织建设，着力构建矛盾纠纷解决优势互补、多</w:t>
      </w:r>
      <w:r>
        <w:rPr>
          <w:rFonts w:hint="eastAsia" w:ascii="Times New Roman" w:hAnsi="Times New Roman" w:eastAsia="方正仿宋简体" w:cs="仿宋"/>
          <w:color w:val="000000" w:themeColor="text1"/>
          <w:spacing w:val="-6"/>
          <w:sz w:val="32"/>
          <w:szCs w:val="32"/>
          <w14:textFill>
            <w14:solidFill>
              <w14:schemeClr w14:val="tx1"/>
            </w14:solidFill>
          </w14:textFill>
        </w:rPr>
        <w:t>元衔接的良性工作格局，将矛盾纠纷化解在基层，消除在萌芽状态。</w:t>
      </w:r>
    </w:p>
    <w:p w14:paraId="7A7CC241">
      <w:pPr>
        <w:pStyle w:val="22"/>
        <w:widowControl w:val="0"/>
        <w:overflowPunct w:val="0"/>
        <w:spacing w:before="0" w:beforeAutospacing="0" w:after="0" w:afterAutospacing="0"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p w14:paraId="677DD5DD">
      <w:pPr>
        <w:pStyle w:val="3"/>
        <w:keepNext w:val="0"/>
        <w:keepLines w:val="0"/>
        <w:overflowPunct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159" w:name="_Toc74035519"/>
      <w:bookmarkStart w:id="160" w:name="_Toc59811683"/>
      <w:bookmarkStart w:id="161" w:name="_Toc73976167"/>
      <w:r>
        <w:rPr>
          <w:rFonts w:hint="eastAsia" w:ascii="黑体" w:hAnsi="黑体" w:eastAsia="黑体" w:cs="Times New Roman (标题 CS)"/>
          <w:b w:val="0"/>
          <w:color w:val="000000" w:themeColor="text1"/>
          <w14:textFill>
            <w14:solidFill>
              <w14:schemeClr w14:val="tx1"/>
            </w14:solidFill>
          </w14:textFill>
        </w:rPr>
        <w:t>第二节 维护社会稳定和安全发展</w:t>
      </w:r>
      <w:bookmarkEnd w:id="159"/>
      <w:bookmarkEnd w:id="160"/>
      <w:bookmarkEnd w:id="161"/>
    </w:p>
    <w:p w14:paraId="7E76647E"/>
    <w:p w14:paraId="46BDF1FD">
      <w:pPr>
        <w:pStyle w:val="22"/>
        <w:widowControl w:val="0"/>
        <w:overflowPunct w:val="0"/>
        <w:spacing w:before="0" w:beforeAutospacing="0" w:after="0" w:afterAutospacing="0"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健全完善社会动员机制，有效激发公众参与平安建设的积极性和自觉性，形成“政府搭台、百姓唱戏”和“百姓受益、政府增效”的良性循环，有效维护社会稳定，促进和谐安全发展。</w:t>
      </w:r>
    </w:p>
    <w:p w14:paraId="4BF01188">
      <w:pPr>
        <w:widowControl w:val="0"/>
        <w:overflowPunct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切实维护国家安全和社会稳定。</w:t>
      </w:r>
      <w:r>
        <w:rPr>
          <w:rFonts w:hint="eastAsia" w:ascii="Times New Roman" w:hAnsi="Times New Roman" w:eastAsia="方正仿宋简体" w:cs="仿宋"/>
          <w:color w:val="000000" w:themeColor="text1"/>
          <w:sz w:val="32"/>
          <w:szCs w:val="32"/>
          <w14:textFill>
            <w14:solidFill>
              <w14:schemeClr w14:val="tx1"/>
            </w14:solidFill>
          </w14:textFill>
        </w:rPr>
        <w:t>牢固树立总体国家安全观，把政治安全和大局稳定放在首位，对国际国内形势新变化可能引发的各种风险加强研判，增强防控工作的预见性、主动性、有效性，坚决维护国家安全和社会稳定。加强国家安全宣传教育，增强全民国家安全意识。常态化开展扫黑除恶专项斗争，坚决防范和打击暴力恐怖、黑恶势力、新型网络违法犯罪和影响社会治理、影响群众生命财产安全的各类违法犯罪活动，保持社会和谐稳定。</w:t>
      </w:r>
    </w:p>
    <w:p w14:paraId="07978902">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全面夯实城区运行安全管理基础。</w:t>
      </w:r>
      <w:r>
        <w:rPr>
          <w:rFonts w:hint="eastAsia" w:ascii="Times New Roman" w:hAnsi="Times New Roman" w:eastAsia="方正仿宋简体" w:cs="仿宋"/>
          <w:color w:val="000000" w:themeColor="text1"/>
          <w:sz w:val="32"/>
          <w:szCs w:val="32"/>
          <w14:textFill>
            <w14:solidFill>
              <w14:schemeClr w14:val="tx1"/>
            </w14:solidFill>
          </w14:textFill>
        </w:rPr>
        <w:t>加强安全法规、安全标准、安全管理队伍建设，推进企业“安全生产标准化”建设，消除安全生产监管盲区漏洞，打通消防生命通道，做好重点场所治理、突出风险整治、重点行业（领域）管理等工作。全面加强道路运输安全风险防控和隐患治理，积极聚焦“减量控大”总目标，努力实现“三个持续下降、一个坚决防止”的行动目标。落实消防安全责任制，构筑社会消防安全“防火墙”，推行火灾高危单位户籍化和消防安全网格化管理。加快推进常泰消防站等消防基础设施建设，推动消防监管模式智能化、社会化、网络化，提升应急救援能力。</w:t>
      </w:r>
    </w:p>
    <w:p w14:paraId="16080CC9">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全面提升基层平安创建工作水平。</w:t>
      </w:r>
      <w:r>
        <w:rPr>
          <w:rFonts w:hint="eastAsia" w:ascii="Times New Roman" w:hAnsi="Times New Roman" w:eastAsia="方正仿宋简体" w:cs="仿宋"/>
          <w:color w:val="000000" w:themeColor="text1"/>
          <w:sz w:val="32"/>
          <w:szCs w:val="32"/>
          <w14:textFill>
            <w14:solidFill>
              <w14:schemeClr w14:val="tx1"/>
            </w14:solidFill>
          </w14:textFill>
        </w:rPr>
        <w:t>以基层平安创建为重点，以落实推进年度社会治安综合治理重点工作为抓手，深入开展平安创建活动，着力解决群众反映强烈的突出治安问题和社会管理问题。深化“平安单位”“平安小区”“平安社区”“平安家庭”“平安医院”“安全文明校园”等系列创建活动，不断提高平安创建活动的覆盖率和达标率。切实加强平安建设宣传工作力度，</w:t>
      </w:r>
      <w:r>
        <w:rPr>
          <w:rFonts w:hint="eastAsia" w:ascii="Times New Roman" w:hAnsi="Times New Roman" w:eastAsia="方正仿宋简体" w:cs="仿宋"/>
          <w:color w:val="000000" w:themeColor="text1"/>
          <w:spacing w:val="-6"/>
          <w:sz w:val="32"/>
          <w:szCs w:val="32"/>
          <w14:textFill>
            <w14:solidFill>
              <w14:schemeClr w14:val="tx1"/>
            </w14:solidFill>
          </w14:textFill>
        </w:rPr>
        <w:t>大力加强公共安全知识普及教育，不断提升平安建设社会影响力。</w:t>
      </w:r>
    </w:p>
    <w:p w14:paraId="6B31CA25">
      <w:pPr>
        <w:widowControl w:val="0"/>
        <w:overflowPunct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全面增强防灾减灾救灾能力。</w:t>
      </w:r>
      <w:r>
        <w:rPr>
          <w:rFonts w:hint="eastAsia" w:ascii="Times New Roman" w:hAnsi="Times New Roman" w:eastAsia="方正仿宋简体"/>
          <w:color w:val="000000" w:themeColor="text1"/>
          <w:sz w:val="32"/>
          <w:szCs w:val="32"/>
          <w14:textFill>
            <w14:solidFill>
              <w14:schemeClr w14:val="tx1"/>
            </w14:solidFill>
          </w14:textFill>
        </w:rPr>
        <w:t>健全应急管理体制机制，坚持政府主导与社会参与相结合，全面提高风险防范、应急响应、应急处置能力。加快应急救灾储备库建设，建立完善的救灾物资采购供应网络，优化救灾物资采购储备制度。加强粮食储备管理工作，确保地方储备粮充足安全。加强防灾减灾体系建设，充分利用大数据、物联网等技术，强化风险隐患监测监控，逐步扩大重点监测覆盖面，增加监测点密度，改进监测技术和手段，提高各类自然灾害监测灵敏度，推动多灾种、跨领域的预警信息汇总、分析、研判，努力建成合理分工、职责清晰的灾害事故综合监测与报警信息体系。健全以国家综合性消防救援队伍为骨干、专业救援队伍为支撑、基层应急队伍为补充的多层次应急救援体系建设，提高队伍专业化和装备现代化水平。</w:t>
      </w:r>
    </w:p>
    <w:p w14:paraId="56E61E55">
      <w:pPr>
        <w:widowControl w:val="0"/>
        <w:overflowPunct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p>
    <w:p w14:paraId="30A07752">
      <w:pPr>
        <w:pStyle w:val="3"/>
        <w:keepNext w:val="0"/>
        <w:keepLines w:val="0"/>
        <w:overflowPunct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162" w:name="_Toc59811684"/>
      <w:bookmarkStart w:id="163" w:name="_Toc73976168"/>
      <w:bookmarkStart w:id="164" w:name="_Toc74035520"/>
      <w:r>
        <w:rPr>
          <w:rFonts w:hint="eastAsia" w:ascii="黑体" w:hAnsi="黑体" w:eastAsia="黑体" w:cs="Times New Roman (标题 CS)"/>
          <w:b w:val="0"/>
          <w:color w:val="000000" w:themeColor="text1"/>
          <w14:textFill>
            <w14:solidFill>
              <w14:schemeClr w14:val="tx1"/>
            </w14:solidFill>
          </w14:textFill>
        </w:rPr>
        <w:t>第三节 创新探索城市社会治理路径</w:t>
      </w:r>
      <w:bookmarkEnd w:id="162"/>
      <w:bookmarkEnd w:id="163"/>
      <w:bookmarkEnd w:id="164"/>
    </w:p>
    <w:p w14:paraId="338B435A"/>
    <w:p w14:paraId="42CEF14D">
      <w:pPr>
        <w:pStyle w:val="22"/>
        <w:widowControl w:val="0"/>
        <w:overflowPunct w:val="0"/>
        <w:spacing w:before="0" w:beforeAutospacing="0" w:after="0" w:afterAutospacing="0" w:line="590" w:lineRule="exact"/>
        <w:ind w:firstLine="640"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color w:val="000000" w:themeColor="text1"/>
          <w:kern w:val="2"/>
          <w:sz w:val="32"/>
          <w:szCs w:val="32"/>
          <w14:textFill>
            <w14:solidFill>
              <w14:schemeClr w14:val="tx1"/>
            </w14:solidFill>
          </w14:textFill>
        </w:rPr>
        <w:t>将加强和创新基层城市社会治理作为长远之计和固本之策，积极探索以党建为统领、以德治为先导、以自治为基础的新路径，推动城市文明程度持续提升，有效应对各类突发“黑天鹅”事件，着力打造“韧性城市”。</w:t>
      </w:r>
    </w:p>
    <w:p w14:paraId="5E273A99">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bCs/>
          <w:color w:val="000000" w:themeColor="text1"/>
          <w:kern w:val="2"/>
          <w:sz w:val="32"/>
          <w:szCs w:val="32"/>
          <w14:textFill>
            <w14:solidFill>
              <w14:schemeClr w14:val="tx1"/>
            </w14:solidFill>
          </w14:textFill>
        </w:rPr>
        <w:t>坚持以人为本发展理念，提升城市治理的温度。</w:t>
      </w:r>
      <w:r>
        <w:rPr>
          <w:rFonts w:hint="eastAsia" w:ascii="Times New Roman" w:hAnsi="Times New Roman" w:eastAsia="方正仿宋简体" w:cs="仿宋"/>
          <w:color w:val="000000" w:themeColor="text1"/>
          <w:kern w:val="2"/>
          <w:sz w:val="32"/>
          <w:szCs w:val="32"/>
          <w14:textFill>
            <w14:solidFill>
              <w14:schemeClr w14:val="tx1"/>
            </w14:solidFill>
          </w14:textFill>
        </w:rPr>
        <w:t>不断完善城市空间布局，合理安排生产、生活、生态空间，努力扩大休闲、健身、游憩的公共空间，积极创造宜业、宜居、宜游的良好环境，在最大限度上满足人民群众对美丽城市空间的需要。提升城市基本公共服务水平和质量，不断满足人民群众对于城市公平、城市正义、城市民主等方面的需要，建立和谐、稳定、团结的城市社会关系。营造人民群众认同的城市品质，通过延续城市历史文脉以使城市更有温度，增强城市文化记忆与个体记忆的关联。鼓励创新城市现代文化，让城市更有活力，提升人民群众对城市建设的认同度。</w:t>
      </w:r>
    </w:p>
    <w:p w14:paraId="7869DD07">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bCs/>
          <w:color w:val="000000" w:themeColor="text1"/>
          <w:kern w:val="2"/>
          <w:sz w:val="32"/>
          <w:szCs w:val="32"/>
          <w14:textFill>
            <w14:solidFill>
              <w14:schemeClr w14:val="tx1"/>
            </w14:solidFill>
          </w14:textFill>
        </w:rPr>
        <w:t>强调创新的动力支撑，增强城市治理的效度。</w:t>
      </w:r>
      <w:r>
        <w:rPr>
          <w:rFonts w:hint="eastAsia" w:ascii="Times New Roman" w:hAnsi="Times New Roman" w:eastAsia="方正仿宋简体" w:cs="仿宋"/>
          <w:color w:val="000000" w:themeColor="text1"/>
          <w:kern w:val="2"/>
          <w:sz w:val="32"/>
          <w:szCs w:val="32"/>
          <w14:textFill>
            <w14:solidFill>
              <w14:schemeClr w14:val="tx1"/>
            </w14:solidFill>
          </w14:textFill>
        </w:rPr>
        <w:t>提升城市现代化治理能力和现代化治理水平，走科技创新驱动的发展道路。加强基础设施建设，通过市场推动、产业联动、项目带动，引导各类新型基础设施布局落地，为城市现代化治理体系提供坚实的物质基础。推动城市治理体系、治理手段、治理方式、治理理念的创新，促进城市建设从数字化到智能化再到智慧化的转型升级。积极探索城市网格化综合管理平台建设，对城市发展信息进行全方位高效采集，有效完善数据分析发布、信息交流、社会服务、社区管理等功能。</w:t>
      </w:r>
    </w:p>
    <w:p w14:paraId="311D72AC">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bCs/>
          <w:color w:val="000000" w:themeColor="text1"/>
          <w:kern w:val="2"/>
          <w:sz w:val="32"/>
          <w:szCs w:val="32"/>
          <w14:textFill>
            <w14:solidFill>
              <w14:schemeClr w14:val="tx1"/>
            </w14:solidFill>
          </w14:textFill>
        </w:rPr>
        <w:t>推进精细化治理模式，凸显城市治理的细度。</w:t>
      </w:r>
      <w:r>
        <w:rPr>
          <w:rFonts w:hint="eastAsia" w:ascii="Times New Roman" w:hAnsi="Times New Roman" w:eastAsia="方正仿宋简体" w:cs="仿宋"/>
          <w:color w:val="000000" w:themeColor="text1"/>
          <w:kern w:val="2"/>
          <w:sz w:val="32"/>
          <w:szCs w:val="32"/>
          <w14:textFill>
            <w14:solidFill>
              <w14:schemeClr w14:val="tx1"/>
            </w14:solidFill>
          </w14:textFill>
        </w:rPr>
        <w:t>推动城市基层实现精细管理、精心组织、精准施策。坚持走群众路线，引导社区居民充分发挥主体能动性，积极参与城市治理，形成共建共治共享的城市社区治理格局。协调社区治理主体，凝聚全社会同心同向的治理合力。加强城市社区治理人才队伍建设，吸收更多优秀人才加入基层治理队伍，保障社区治理各项工作稳步有效开展。推动城市治理资源下沉社区，为社区居民提供更具个性化、差异化和精细化的公共服务，更有针对性地推动治理资源下沉和流动，释放城市发展活力。</w:t>
      </w:r>
    </w:p>
    <w:p w14:paraId="462545FB">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bCs/>
          <w:color w:val="000000" w:themeColor="text1"/>
          <w:kern w:val="2"/>
          <w:sz w:val="32"/>
          <w:szCs w:val="32"/>
          <w14:textFill>
            <w14:solidFill>
              <w14:schemeClr w14:val="tx1"/>
            </w14:solidFill>
          </w14:textFill>
        </w:rPr>
        <w:t>贯彻绿色发展新理念，拓展城市治理的维度。</w:t>
      </w:r>
      <w:r>
        <w:rPr>
          <w:rFonts w:hint="eastAsia" w:ascii="Times New Roman" w:hAnsi="Times New Roman" w:eastAsia="方正仿宋简体" w:cs="仿宋"/>
          <w:color w:val="000000" w:themeColor="text1"/>
          <w:kern w:val="2"/>
          <w:sz w:val="32"/>
          <w:szCs w:val="32"/>
          <w14:textFill>
            <w14:solidFill>
              <w14:schemeClr w14:val="tx1"/>
            </w14:solidFill>
          </w14:textFill>
        </w:rPr>
        <w:t>将绿色发展理念融入城市治理的基本框架，扩大城市绿色发展空间，积极打造以公园绿地为主的生活线、生态线、景观线，优化城市生态环境，塑造城市生态景观，构筑多层次、立体化的城市自然生态系统。推动城市绿色生产方式改革，以绿色经济和循环经济为主攻方向，探索城市经济发展的生态化转型和城市经济发展方式的创新，进而带动人民群众形成绿色生活方式，涵养节约友好、共治共享的绿色城市文化。</w:t>
      </w:r>
    </w:p>
    <w:p w14:paraId="732F65BF">
      <w:pPr>
        <w:pStyle w:val="21"/>
        <w:widowControl w:val="0"/>
        <w:overflowPunct w:val="0"/>
        <w:spacing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落实法律法规制度保障，加强城市治理的力度。</w:t>
      </w:r>
      <w:r>
        <w:rPr>
          <w:rFonts w:hint="eastAsia" w:ascii="Times New Roman" w:hAnsi="Times New Roman" w:eastAsia="方正仿宋简体" w:cs="仿宋"/>
          <w:color w:val="000000" w:themeColor="text1"/>
          <w:sz w:val="32"/>
          <w:szCs w:val="32"/>
          <w14:textFill>
            <w14:solidFill>
              <w14:schemeClr w14:val="tx1"/>
            </w14:solidFill>
          </w14:textFill>
        </w:rPr>
        <w:t>推进城市治理的法治化建设，推进依法行政，严格规范公正文明执法，坚持在法治的轨道上推进治理体系和治理能力现代化，强调运用法治思维和法治方式解决城市治理顽症难题。不断增强全社会的法治意识，引导人们在法治轨道上解决存在问题、维护自身权益、参与城市治理。</w:t>
      </w:r>
      <w:r>
        <w:rPr>
          <w:rFonts w:hint="eastAsia" w:ascii="Times New Roman" w:hAnsi="Times New Roman" w:eastAsia="方正仿宋简体" w:cs="仿宋"/>
          <w:color w:val="000000" w:themeColor="text1"/>
          <w:kern w:val="2"/>
          <w:sz w:val="32"/>
          <w:szCs w:val="32"/>
          <w14:textFill>
            <w14:solidFill>
              <w14:schemeClr w14:val="tx1"/>
            </w14:solidFill>
          </w14:textFill>
        </w:rPr>
        <w:t>做好民法典宣传普及工作，推动民法典实施。积极谋划“八五”普法，推动全民守法普法成为社会治理的法治基础，从法治层面促进城市正义，改善城市秩序、提升城市形象，不断提高民生保障和公共服务供给水平，在推进城市现代化治理进程中展现鲤城新作为。</w:t>
      </w:r>
    </w:p>
    <w:p w14:paraId="3BDDE641">
      <w:pPr>
        <w:pStyle w:val="21"/>
        <w:widowControl w:val="0"/>
        <w:overflowPunct w:val="0"/>
        <w:spacing w:line="590" w:lineRule="exact"/>
        <w:ind w:firstLine="640"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p>
    <w:p w14:paraId="7CF6EBFB">
      <w:pPr>
        <w:pStyle w:val="3"/>
        <w:keepNext w:val="0"/>
        <w:keepLines w:val="0"/>
        <w:overflowPunct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165" w:name="_Toc73976169"/>
      <w:bookmarkStart w:id="166" w:name="_Toc59811685"/>
      <w:bookmarkStart w:id="167" w:name="_Toc74035521"/>
      <w:r>
        <w:rPr>
          <w:rFonts w:hint="eastAsia" w:ascii="黑体" w:hAnsi="黑体" w:eastAsia="黑体" w:cs="Times New Roman (标题 CS)"/>
          <w:b w:val="0"/>
          <w:color w:val="000000" w:themeColor="text1"/>
          <w14:textFill>
            <w14:solidFill>
              <w14:schemeClr w14:val="tx1"/>
            </w14:solidFill>
          </w14:textFill>
        </w:rPr>
        <w:t>第四节 扎实推动军民融合深度发展</w:t>
      </w:r>
      <w:bookmarkEnd w:id="165"/>
      <w:bookmarkEnd w:id="166"/>
      <w:bookmarkEnd w:id="167"/>
    </w:p>
    <w:p w14:paraId="25BA601E"/>
    <w:p w14:paraId="7F29A7BA">
      <w:pPr>
        <w:widowControl w:val="0"/>
        <w:overflowPunct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科学统筹经济建设和国防建设，坚持发展与安全兼顾、富国与强军相统一，健全统筹发展机制，完善政策制度措施，拓展融合发展范围，做到协调发展、平衡发展、兼容发展。培育发展军民融合领军企业、优势产业，打通“民参军”渠道，有序推进军民资源成果共享。</w:t>
      </w:r>
    </w:p>
    <w:p w14:paraId="1C15277F">
      <w:pPr>
        <w:widowControl w:val="0"/>
        <w:overflowPunct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健全党管武装机制。</w:t>
      </w:r>
      <w:r>
        <w:rPr>
          <w:rFonts w:hint="eastAsia" w:ascii="Times New Roman" w:hAnsi="Times New Roman" w:eastAsia="方正仿宋简体"/>
          <w:color w:val="000000" w:themeColor="text1"/>
          <w:sz w:val="32"/>
          <w:szCs w:val="32"/>
          <w14:textFill>
            <w14:solidFill>
              <w14:schemeClr w14:val="tx1"/>
            </w14:solidFill>
          </w14:textFill>
        </w:rPr>
        <w:t>以习近平强军思想和新时代军事战略为指导，认真履行管政治方向、管思想教育、管组织队伍、管应急备战、管建设保障职责，完善双重领导、双向兼职、党委议军、工作述职、办公例会、军事日、学习培训、绩效考评等制度，建立健全党委统一领导、政府协调保障、军地齐抓共管、逐级履行职责的工作机制，不断推动形成经济社会发展与国防动员建设“两副担子”一起挑、“两个责任”一起担、“两项任务”一起抓的生动格局。</w:t>
      </w:r>
    </w:p>
    <w:p w14:paraId="601E2324">
      <w:pPr>
        <w:widowControl w:val="0"/>
        <w:overflowPunct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加强国防动员建设。</w:t>
      </w:r>
      <w:r>
        <w:rPr>
          <w:rFonts w:hint="eastAsia" w:ascii="Times New Roman" w:hAnsi="Times New Roman" w:eastAsia="方正仿宋简体"/>
          <w:color w:val="000000" w:themeColor="text1"/>
          <w:sz w:val="32"/>
          <w:szCs w:val="32"/>
          <w14:textFill>
            <w14:solidFill>
              <w14:schemeClr w14:val="tx1"/>
            </w14:solidFill>
          </w14:textFill>
        </w:rPr>
        <w:t>贯彻“军队提需求、国动委搞协调、政府抓落实”要求，强化军地联动，把国防需求贯彻到产业布局、资源配置、重大项目建设中，完善国防动员运行机制，强化国动委各办建设，突出应急应战能力建设，打牢基层武装工作基础，推动全民国防教育、动员潜力调查、后备力量改革、民兵整组训练、优质兵员征集等工作有效落实，奋力打造新时代国防动员事业名片。</w:t>
      </w:r>
    </w:p>
    <w:p w14:paraId="3C970AF9">
      <w:pPr>
        <w:widowControl w:val="0"/>
        <w:overflowPunct w:val="0"/>
        <w:spacing w:line="590" w:lineRule="exact"/>
        <w:ind w:firstLine="643" w:firstLineChars="200"/>
        <w:jc w:val="both"/>
        <w:rPr>
          <w:rFonts w:ascii="Times New Roman" w:hAnsi="Times New Roman" w:eastAsia="方正仿宋简体"/>
          <w:b/>
          <w:bCs/>
          <w:color w:val="000000" w:themeColor="text1"/>
          <w:sz w:val="36"/>
          <w14:textFill>
            <w14:solidFill>
              <w14:schemeClr w14:val="tx1"/>
            </w14:solidFill>
          </w14:textFill>
        </w:rPr>
        <w:sectPr>
          <w:pgSz w:w="11900" w:h="16840"/>
          <w:pgMar w:top="1928" w:right="1474" w:bottom="1701" w:left="1588" w:header="851" w:footer="992" w:gutter="0"/>
          <w:cols w:space="425" w:num="1"/>
          <w:docGrid w:type="lines" w:linePitch="423" w:charSpace="0"/>
        </w:sectPr>
      </w:pPr>
      <w:r>
        <w:rPr>
          <w:rFonts w:hint="eastAsia" w:ascii="Times New Roman" w:hAnsi="Times New Roman" w:eastAsia="方正仿宋简体"/>
          <w:b/>
          <w:color w:val="000000" w:themeColor="text1"/>
          <w:sz w:val="32"/>
          <w:szCs w:val="32"/>
          <w14:textFill>
            <w14:solidFill>
              <w14:schemeClr w14:val="tx1"/>
            </w14:solidFill>
          </w14:textFill>
        </w:rPr>
        <w:t>完善军人荣誉体系。</w:t>
      </w:r>
      <w:r>
        <w:rPr>
          <w:rFonts w:hint="eastAsia" w:ascii="Times New Roman" w:hAnsi="Times New Roman" w:eastAsia="方正仿宋简体"/>
          <w:color w:val="000000" w:themeColor="text1"/>
          <w:sz w:val="32"/>
          <w:szCs w:val="32"/>
          <w14:textFill>
            <w14:solidFill>
              <w14:schemeClr w14:val="tx1"/>
            </w14:solidFill>
          </w14:textFill>
        </w:rPr>
        <w:t>按照“选送好入伍的、服务好在伍的、安置好退伍的”要求，构建军人荣誉体系，完善军人优待政策，聚力解决官兵后路（转业安置）、后院（家属就业）、后代（子女入学）“三后”问题。建立健全退役军人工作体系和保障制度。严格落实退役军人各项政策，全面做好就业安置、创业扶持、教育培训、抚恤优待、帮扶解困、权益维护等工作，切实把退役军人的工作和生活保障好，让军人成为全社会尊崇的职业。积极探索建立政府主导、多方参与的社会优待工作机制，鼓励和引导企业、社会组织、个人等社会力量依法通过捐赠、设立基金、志愿服务等方式为退役军人提供支持和帮助。</w:t>
      </w:r>
    </w:p>
    <w:p w14:paraId="4660D6AA">
      <w:pPr>
        <w:pStyle w:val="2"/>
        <w:overflowPunct w:val="0"/>
        <w:spacing w:after="0" w:line="590" w:lineRule="exact"/>
        <w:ind w:firstLine="0" w:firstLineChars="0"/>
        <w:jc w:val="center"/>
        <w:rPr>
          <w:rFonts w:ascii="黑体" w:hAnsi="黑体"/>
          <w:b w:val="0"/>
          <w:bCs/>
          <w:color w:val="000000" w:themeColor="text1"/>
          <w:sz w:val="36"/>
          <w14:textFill>
            <w14:solidFill>
              <w14:schemeClr w14:val="tx1"/>
            </w14:solidFill>
          </w14:textFill>
        </w:rPr>
      </w:pPr>
      <w:bookmarkStart w:id="168" w:name="_Toc73976170"/>
      <w:bookmarkStart w:id="169" w:name="_Toc59811686"/>
      <w:bookmarkStart w:id="170" w:name="_Toc74035522"/>
      <w:r>
        <w:rPr>
          <w:rFonts w:hint="eastAsia" w:ascii="黑体" w:hAnsi="黑体"/>
          <w:b w:val="0"/>
          <w:bCs/>
          <w:color w:val="000000" w:themeColor="text1"/>
          <w:sz w:val="36"/>
          <w14:textFill>
            <w14:solidFill>
              <w14:schemeClr w14:val="tx1"/>
            </w14:solidFill>
          </w14:textFill>
        </w:rPr>
        <w:t>第十章 开放发展，以深化改革激发发展新活力</w:t>
      </w:r>
      <w:bookmarkEnd w:id="168"/>
      <w:bookmarkEnd w:id="169"/>
      <w:bookmarkEnd w:id="170"/>
    </w:p>
    <w:p w14:paraId="035D94CD"/>
    <w:p w14:paraId="354665AC">
      <w:pPr>
        <w:widowControl w:val="0"/>
        <w:overflowPunct w:val="0"/>
        <w:spacing w:line="590" w:lineRule="exact"/>
        <w:ind w:firstLine="640"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color w:val="000000" w:themeColor="text1"/>
          <w:kern w:val="2"/>
          <w:sz w:val="32"/>
          <w:szCs w:val="32"/>
          <w14:textFill>
            <w14:solidFill>
              <w14:schemeClr w14:val="tx1"/>
            </w14:solidFill>
          </w14:textFill>
        </w:rPr>
        <w:t>持之以恒深化改革开放，主动对接泉州市民营经济综合改革试点和金融服务实体经济综合改革试验区，以开放促改革、促发展、促创新，持续优化营商环境，建设高水平开放型经济新体制。</w:t>
      </w:r>
    </w:p>
    <w:p w14:paraId="6FCB9F1E">
      <w:pPr>
        <w:widowControl w:val="0"/>
        <w:overflowPunct w:val="0"/>
        <w:spacing w:line="590" w:lineRule="exact"/>
        <w:ind w:firstLine="640"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p>
    <w:p w14:paraId="2E229AB3">
      <w:pPr>
        <w:pStyle w:val="3"/>
        <w:keepNext w:val="0"/>
        <w:keepLines w:val="0"/>
        <w:overflowPunct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171" w:name="_Toc74035523"/>
      <w:bookmarkStart w:id="172" w:name="_Toc73976171"/>
      <w:bookmarkStart w:id="173" w:name="_Toc59811687"/>
      <w:r>
        <w:rPr>
          <w:rFonts w:hint="eastAsia" w:ascii="黑体" w:hAnsi="黑体" w:eastAsia="黑体" w:cs="Times New Roman (标题 CS)"/>
          <w:b w:val="0"/>
          <w:color w:val="000000" w:themeColor="text1"/>
          <w14:textFill>
            <w14:solidFill>
              <w14:schemeClr w14:val="tx1"/>
            </w14:solidFill>
          </w14:textFill>
        </w:rPr>
        <w:t>第一节 转变政府职能，提升优质化政务服务水平</w:t>
      </w:r>
      <w:bookmarkEnd w:id="171"/>
      <w:bookmarkEnd w:id="172"/>
      <w:bookmarkEnd w:id="173"/>
    </w:p>
    <w:p w14:paraId="7D3A52B7"/>
    <w:p w14:paraId="267ED0EF">
      <w:pPr>
        <w:pStyle w:val="22"/>
        <w:widowControl w:val="0"/>
        <w:overflowPunct w:val="0"/>
        <w:spacing w:before="0" w:beforeAutospacing="0" w:after="0" w:afterAutospacing="0" w:line="590" w:lineRule="exact"/>
        <w:ind w:firstLine="640"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color w:val="000000" w:themeColor="text1"/>
          <w:kern w:val="2"/>
          <w:sz w:val="32"/>
          <w:szCs w:val="32"/>
          <w14:textFill>
            <w14:solidFill>
              <w14:schemeClr w14:val="tx1"/>
            </w14:solidFill>
          </w14:textFill>
        </w:rPr>
        <w:t>深化行政体制改革，持续优化、转变政府职能，进一步激发经济社会发展活力，建设职责明确、依法行政的政府治理体系。</w:t>
      </w:r>
    </w:p>
    <w:p w14:paraId="4F36BF97">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建设职责明确治理体系。</w:t>
      </w:r>
      <w:r>
        <w:rPr>
          <w:rFonts w:hint="eastAsia" w:ascii="Times New Roman" w:hAnsi="Times New Roman" w:eastAsia="方正仿宋简体" w:cs="仿宋"/>
          <w:color w:val="000000" w:themeColor="text1"/>
          <w:kern w:val="2"/>
          <w:sz w:val="32"/>
          <w:szCs w:val="32"/>
          <w14:textFill>
            <w14:solidFill>
              <w14:schemeClr w14:val="tx1"/>
            </w14:solidFill>
          </w14:textFill>
        </w:rPr>
        <w:t>优化政府组织结构与职责体系，理顺部门职责关系，不断完善政府经济调节、市场监管、社会管理、公共服务、生态环境保护等职能，坚决克服政府职能错位、越位、缺位现象，全面提高政府效能，助推社会治理体系和治理能力现代化。深入推进依法行政，推进法治政府建设，推进机构、职能、权限、程序、责任法定化，推进政府事权规范化、法律化，强化对行政权力的制约和监督，进一步提高政府工作人员依法行政能力，确保政府各项工作在法治轨道上全面推进。深化行业协会、商会和中介机构改革，发挥社会团体的桥梁纽带作用，进一步厘清政府与行业协会、商会的边界，全面推进行业协会、商会与行政机关脱钩改革。</w:t>
      </w:r>
    </w:p>
    <w:p w14:paraId="68B0D3E5">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持续优化营商环境。</w:t>
      </w:r>
      <w:r>
        <w:rPr>
          <w:rFonts w:hint="eastAsia" w:ascii="Times New Roman" w:hAnsi="Times New Roman" w:eastAsia="方正仿宋简体" w:cs="仿宋"/>
          <w:color w:val="000000" w:themeColor="text1"/>
          <w:kern w:val="2"/>
          <w:sz w:val="32"/>
          <w:szCs w:val="32"/>
          <w14:textFill>
            <w14:solidFill>
              <w14:schemeClr w14:val="tx1"/>
            </w14:solidFill>
          </w14:textFill>
        </w:rPr>
        <w:t>全面推行政府合同监督管理制度，提升政府和企业履约率和公信力。紧扣全生命周期服务，深化“放管服”改革，深入实施营商环境“1+10+N”提升行动。遵循“非禁即入”取向，积极推进商事制度改革。以点带面，抓住重点环节和关键领域，进一步融合线上线下服务，整合信息平台系统，全面实现“马上办、网上办、一次办”，切实推进鲤城“一网通办”和数据交换共享，简化企业开办审批服务，进一步压缩企业开办时间至1个工作日，提升企业、群众办事体验感和获得感。进一步完善产权保护制度，激发社会创造创新活力；推进“双随机、一公开”监管全覆盖、常态化；落实减税降费政策，实质性降低企业制度性交易成本、创新创业成本和生产经营成本。利用新兴信息技术完善信用监管体系，提升事中事后监管水平，不断营造稳定公平透明、法治化、可预期的营商环境。</w:t>
      </w:r>
    </w:p>
    <w:p w14:paraId="5342AC9F">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深化政务服务公开。</w:t>
      </w:r>
      <w:r>
        <w:rPr>
          <w:rFonts w:hint="eastAsia" w:ascii="Times New Roman" w:hAnsi="Times New Roman" w:eastAsia="方正仿宋简体" w:cs="仿宋"/>
          <w:color w:val="000000" w:themeColor="text1"/>
          <w:kern w:val="2"/>
          <w:sz w:val="32"/>
          <w:szCs w:val="32"/>
          <w14:textFill>
            <w14:solidFill>
              <w14:schemeClr w14:val="tx1"/>
            </w14:solidFill>
          </w14:textFill>
        </w:rPr>
        <w:t>促进政务服务规范运作，规范行政审批行为，优化各级政务服务大厅窗口布局和服务，梳理和再造政务服务流程，全面实施政务服务“好差评”制度。深化政务公开，全面推进决策、执行、管理、服务、结果公开，以公开促落实、促规范、促服务。稳步推进政府信息公开平台建设，加强行政法规、规章、规范性文件等重点政务信息公开。全面推进基层政务公开标准化规范化，健全基层政务公开标准体系，推进基层办事服务公开透明。加强和改进政策发布解读回应工作，更加注重对政策背景、出台目的、重要举措等方面的实质性解读，强化政务舆情回应，确保在应对重大突发事件及社会热点事件时不失声、不缺位。</w:t>
      </w:r>
    </w:p>
    <w:p w14:paraId="411885D1">
      <w:pPr>
        <w:pStyle w:val="22"/>
        <w:widowControl w:val="0"/>
        <w:overflowPunct w:val="0"/>
        <w:spacing w:before="0" w:beforeAutospacing="0" w:after="0" w:afterAutospacing="0" w:line="590" w:lineRule="exact"/>
        <w:ind w:firstLine="640"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p>
    <w:p w14:paraId="0C96A783">
      <w:pPr>
        <w:pStyle w:val="3"/>
        <w:keepNext w:val="0"/>
        <w:keepLines w:val="0"/>
        <w:overflowPunct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174" w:name="_Toc59811688"/>
      <w:bookmarkStart w:id="175" w:name="_Toc74035524"/>
      <w:bookmarkStart w:id="176" w:name="_Toc73976172"/>
      <w:r>
        <w:rPr>
          <w:rFonts w:hint="eastAsia" w:ascii="黑体" w:hAnsi="黑体" w:eastAsia="黑体" w:cs="Times New Roman (标题 CS)"/>
          <w:b w:val="0"/>
          <w:color w:val="000000" w:themeColor="text1"/>
          <w14:textFill>
            <w14:solidFill>
              <w14:schemeClr w14:val="tx1"/>
            </w14:solidFill>
          </w14:textFill>
        </w:rPr>
        <w:t>第二节 改革经济领域，构建高水平市场经济体系</w:t>
      </w:r>
      <w:bookmarkEnd w:id="174"/>
      <w:bookmarkEnd w:id="175"/>
      <w:bookmarkEnd w:id="176"/>
    </w:p>
    <w:p w14:paraId="2593045D"/>
    <w:p w14:paraId="0A4B02E7">
      <w:pPr>
        <w:pStyle w:val="22"/>
        <w:widowControl w:val="0"/>
        <w:overflowPunct w:val="0"/>
        <w:spacing w:before="0" w:beforeAutospacing="0" w:after="0" w:afterAutospacing="0" w:line="590" w:lineRule="exact"/>
        <w:ind w:firstLine="640"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color w:val="000000" w:themeColor="text1"/>
          <w:kern w:val="2"/>
          <w:sz w:val="32"/>
          <w:szCs w:val="32"/>
          <w14:textFill>
            <w14:solidFill>
              <w14:schemeClr w14:val="tx1"/>
            </w14:solidFill>
          </w14:textFill>
        </w:rPr>
        <w:t>坚持和完善社会主义基本经济制度，聚焦重点领域、关键环节，加强系统集成、协同高效，推动有效市场和有为政府结合，以更深层次改革提高资源配置效率，调动全社会积极性，建设与高质量发展相适应的高水平市场经济体制。</w:t>
      </w:r>
    </w:p>
    <w:p w14:paraId="116A63A7">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激发民营经济发展活力。</w:t>
      </w:r>
      <w:r>
        <w:rPr>
          <w:rFonts w:hint="eastAsia" w:ascii="Times New Roman" w:hAnsi="Times New Roman" w:eastAsia="方正仿宋简体" w:cs="仿宋"/>
          <w:color w:val="000000" w:themeColor="text1"/>
          <w:kern w:val="2"/>
          <w:sz w:val="32"/>
          <w:szCs w:val="32"/>
          <w14:textFill>
            <w14:solidFill>
              <w14:schemeClr w14:val="tx1"/>
            </w14:solidFill>
          </w14:textFill>
        </w:rPr>
        <w:t>推动民营经济综合改革试点工作不断拓展，进一步激发民营企业活力和创造力。营造公正公平的市场环境，保障民营企业依法平等使用资源要素、公开公平公正参与竞争、同等受到法律保护。营造简明有效的政策环境，有效拓宽市场准入，落实全国统一的市场准入负面清单制度，鼓励和引导民间资本进入法律法规未明确禁止准入的所有行业和领域，在基础设施、社会事业等领域有序放宽市场准入。营造公正透明的法治环境，健全依法平等保护民营经济产权和企业家权益的制度。鼓励民营企业深化改革，鼓励有条件的民营企业加快建立现代企业制度，规范优化业务流程和组织结构，推动质量、标准、品牌、财务、营销等精细化管理。</w:t>
      </w:r>
    </w:p>
    <w:p w14:paraId="100568A6">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深化国有企业体制改革。</w:t>
      </w:r>
      <w:r>
        <w:rPr>
          <w:rFonts w:hint="eastAsia" w:ascii="Times New Roman" w:hAnsi="Times New Roman" w:eastAsia="方正仿宋简体" w:cs="仿宋"/>
          <w:color w:val="000000" w:themeColor="text1"/>
          <w:kern w:val="2"/>
          <w:sz w:val="32"/>
          <w:szCs w:val="32"/>
          <w14:textFill>
            <w14:solidFill>
              <w14:schemeClr w14:val="tx1"/>
            </w14:solidFill>
          </w14:textFill>
        </w:rPr>
        <w:t>按照“上挂下并”模式整合各类资产，按照“1+1+2+N”模式搭建管理架构，重构国资体系，</w:t>
      </w:r>
      <w:r>
        <w:rPr>
          <w:rFonts w:hint="eastAsia" w:ascii="方正仿宋简体" w:eastAsia="方正仿宋简体"/>
          <w:sz w:val="32"/>
          <w:szCs w:val="32"/>
        </w:rPr>
        <w:t>逐步实现国有企业出资人</w:t>
      </w:r>
      <w:r>
        <w:rPr>
          <w:rFonts w:hint="eastAsia" w:ascii="Times New Roman" w:hAnsi="Times New Roman" w:eastAsia="方正仿宋简体" w:cs="仿宋"/>
          <w:color w:val="000000" w:themeColor="text1"/>
          <w:kern w:val="2"/>
          <w:sz w:val="32"/>
          <w:szCs w:val="32"/>
          <w14:textFill>
            <w14:solidFill>
              <w14:schemeClr w14:val="tx1"/>
            </w14:solidFill>
          </w14:textFill>
        </w:rPr>
        <w:t>从“管资产”向“管资本”转变，做大做强做精国有企业，加快完成全民所有制企业改制、经营性事业单位改制、资产划转等工作。加快建立健全市场化经营机制，优化国有资本布局，推动战略性重组和专业化整合，引导企业进一步聚焦实体经济，做强做精主业，特别是发挥国有企业在优化结构、畅通循环、稳定增长方面的引领作用，对冲疫情带来的负面影响。进一步完善以管资本为主的国有资产监管体制，加大授权放权力度，有效发挥国有资本投资、运营功能，增强国有经济的竞争力、创新力、控制力、影响力、抗风险能力。</w:t>
      </w:r>
    </w:p>
    <w:p w14:paraId="0AA3AEAC">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提升金融服务实体经济能力。</w:t>
      </w:r>
      <w:r>
        <w:rPr>
          <w:rFonts w:hint="eastAsia" w:ascii="Times New Roman" w:hAnsi="Times New Roman" w:eastAsia="方正仿宋简体" w:cs="仿宋"/>
          <w:color w:val="000000" w:themeColor="text1"/>
          <w:kern w:val="2"/>
          <w:sz w:val="32"/>
          <w:szCs w:val="32"/>
          <w14:textFill>
            <w14:solidFill>
              <w14:schemeClr w14:val="tx1"/>
            </w14:solidFill>
          </w14:textFill>
        </w:rPr>
        <w:t>抓好财政支持深化民营和小微企业金融服务综合改革试点城市工作，完善金融有效支持实体经济体制机制，深化政银企合作，营造良好金融生态环境提升金融服务。推进征信、租赁、信托、创投、期货、基金、资产管理等金融服务提升发展，引入国外先进管理经验和技术。集聚金融资源，加强多样融资方式，发挥产业投资基金作用，加快区域资本市场建设，全面推进企业挂牌上市“育苗成林”工程，推动企业改制上市和并购重组，完善全流程政策支持，培育增加上市后备入库企业数量，鼓励企业登陆主板、中小板、创业板、科创板等。健全风险监测预警和早期干预机制，推进金融业综合统计和监管信息共享，强化属地风险处置责任。强化防范处置企业信贷、上市公司股票质押、债券违约、房地产金融等重点领域金融风险，杜绝系统性金融风险发生。</w:t>
      </w:r>
    </w:p>
    <w:p w14:paraId="0CB036B3">
      <w:pPr>
        <w:pStyle w:val="22"/>
        <w:widowControl w:val="0"/>
        <w:overflowPunct w:val="0"/>
        <w:spacing w:before="0" w:beforeAutospacing="0" w:after="0" w:afterAutospacing="0" w:line="590" w:lineRule="exact"/>
        <w:ind w:firstLine="640"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p>
    <w:p w14:paraId="19B9E322">
      <w:pPr>
        <w:pStyle w:val="3"/>
        <w:keepNext w:val="0"/>
        <w:keepLines w:val="0"/>
        <w:overflowPunct w:val="0"/>
        <w:spacing w:before="0" w:after="0" w:line="560" w:lineRule="exact"/>
        <w:jc w:val="center"/>
        <w:rPr>
          <w:rFonts w:ascii="黑体" w:hAnsi="黑体" w:eastAsia="黑体" w:cs="Times New Roman (标题 CS)"/>
          <w:b w:val="0"/>
          <w:color w:val="000000" w:themeColor="text1"/>
          <w14:textFill>
            <w14:solidFill>
              <w14:schemeClr w14:val="tx1"/>
            </w14:solidFill>
          </w14:textFill>
        </w:rPr>
      </w:pPr>
      <w:bookmarkStart w:id="177" w:name="_Toc73976173"/>
      <w:bookmarkStart w:id="178" w:name="_Toc59811689"/>
      <w:bookmarkStart w:id="179" w:name="_Toc74035525"/>
      <w:r>
        <w:rPr>
          <w:rFonts w:hint="eastAsia" w:ascii="黑体" w:hAnsi="黑体" w:eastAsia="黑体" w:cs="Times New Roman (标题 CS)"/>
          <w:b w:val="0"/>
          <w:color w:val="000000" w:themeColor="text1"/>
          <w14:textFill>
            <w14:solidFill>
              <w14:schemeClr w14:val="tx1"/>
            </w14:solidFill>
          </w14:textFill>
        </w:rPr>
        <w:t>第三节 完善公共服务，提升社会服务效率与公平</w:t>
      </w:r>
      <w:bookmarkEnd w:id="177"/>
      <w:bookmarkEnd w:id="178"/>
      <w:bookmarkEnd w:id="179"/>
    </w:p>
    <w:p w14:paraId="04DD237E">
      <w:pPr>
        <w:spacing w:line="560" w:lineRule="exact"/>
        <w:rPr>
          <w:rFonts w:ascii="黑体" w:hAnsi="黑体" w:eastAsia="黑体"/>
        </w:rPr>
      </w:pPr>
    </w:p>
    <w:p w14:paraId="5CFBB6D0">
      <w:pPr>
        <w:pStyle w:val="22"/>
        <w:widowControl w:val="0"/>
        <w:overflowPunct w:val="0"/>
        <w:spacing w:before="0" w:beforeAutospacing="0" w:after="0" w:afterAutospacing="0" w:line="560" w:lineRule="exact"/>
        <w:ind w:firstLine="640"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color w:val="000000" w:themeColor="text1"/>
          <w:kern w:val="2"/>
          <w:sz w:val="32"/>
          <w:szCs w:val="32"/>
          <w14:textFill>
            <w14:solidFill>
              <w14:schemeClr w14:val="tx1"/>
            </w14:solidFill>
          </w14:textFill>
        </w:rPr>
        <w:t>建立健全高效可持续、公平可获得的公共服务制度，特别是均等化的基本公共服务制度。</w:t>
      </w:r>
    </w:p>
    <w:p w14:paraId="762E8E2F">
      <w:pPr>
        <w:pStyle w:val="22"/>
        <w:widowControl w:val="0"/>
        <w:overflowPunct w:val="0"/>
        <w:spacing w:before="0" w:beforeAutospacing="0" w:after="0" w:afterAutospacing="0" w:line="56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深化社会服务供给体制改革。</w:t>
      </w:r>
      <w:r>
        <w:rPr>
          <w:rFonts w:hint="eastAsia" w:ascii="Times New Roman" w:hAnsi="Times New Roman" w:eastAsia="方正仿宋简体" w:cs="仿宋"/>
          <w:color w:val="000000" w:themeColor="text1"/>
          <w:kern w:val="2"/>
          <w:sz w:val="32"/>
          <w:szCs w:val="32"/>
          <w14:textFill>
            <w14:solidFill>
              <w14:schemeClr w14:val="tx1"/>
            </w14:solidFill>
          </w14:textFill>
        </w:rPr>
        <w:t>提升社会服务效率和公平性，坚守公平底线、突出改革重点、完善运行机制，提升公共服务体系的效率。不断加大公共服务的投入总量，加强义务教育、就业服务、社会保障、基本医疗和公共卫生、公共文化、环境保护等基本公共服务，努力实现全覆盖，提高基本公共服务的可及性和公平性。</w:t>
      </w:r>
    </w:p>
    <w:p w14:paraId="194B1747">
      <w:pPr>
        <w:pStyle w:val="22"/>
        <w:widowControl w:val="0"/>
        <w:overflowPunct w:val="0"/>
        <w:spacing w:before="0" w:beforeAutospacing="0" w:after="0" w:afterAutospacing="0" w:line="56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完善政府公共服务购买制度。</w:t>
      </w:r>
      <w:r>
        <w:rPr>
          <w:rFonts w:hint="eastAsia" w:ascii="Times New Roman" w:hAnsi="Times New Roman" w:eastAsia="方正仿宋简体" w:cs="仿宋"/>
          <w:color w:val="000000" w:themeColor="text1"/>
          <w:spacing w:val="-2"/>
          <w:kern w:val="2"/>
          <w:sz w:val="32"/>
          <w:szCs w:val="32"/>
          <w14:textFill>
            <w14:solidFill>
              <w14:schemeClr w14:val="tx1"/>
            </w14:solidFill>
          </w14:textFill>
        </w:rPr>
        <w:t>建立竞争性公共资源配置机制，发挥好市场机制、公开竞争制度在公共服务领域的作用与功能，调整政府财政等公共资源的配置制度。充分利用社会服务主体承担政府公共服务。创新公共服务提供方式，广泛吸引社会资本参与，扩大公共财政购买服务，借鉴国际经验，结合城市特点与发展阶段，总结地方经验，综合使用多种政策工具特别是技术工具，努力在现有政策框架内提高公共资源综合效益。</w:t>
      </w:r>
    </w:p>
    <w:p w14:paraId="68ADBD10">
      <w:pPr>
        <w:pStyle w:val="22"/>
        <w:widowControl w:val="0"/>
        <w:overflowPunct w:val="0"/>
        <w:spacing w:before="0" w:beforeAutospacing="0" w:after="0" w:afterAutospacing="0" w:line="56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推动社会事业领域改革。</w:t>
      </w:r>
      <w:r>
        <w:rPr>
          <w:rFonts w:hint="eastAsia" w:ascii="Times New Roman" w:hAnsi="Times New Roman" w:eastAsia="方正仿宋简体" w:cs="仿宋"/>
          <w:color w:val="000000" w:themeColor="text1"/>
          <w:kern w:val="2"/>
          <w:sz w:val="32"/>
          <w:szCs w:val="32"/>
          <w14:textFill>
            <w14:solidFill>
              <w14:schemeClr w14:val="tx1"/>
            </w14:solidFill>
          </w14:textFill>
        </w:rPr>
        <w:t>进一步加大事业单位改革为重点的公共服务体系改革。深化教育综合改革，完善中小学教育质量综合评价体系，改善教育生态，建设教育综合改革实验区。深化医疗卫生体制改革，完善基层医疗机构管理体制，建立符合医疗行业特点的人事薪酬制度，全面推行全科医生执业方式和服务模式，完善家庭医生服务机制，提升基层医疗卫生机构服务能力。深化公共文化服务改革，探索传统文化传承体系，加快国有文化单位改革，建立健全现代文化市场体系，构建现代公共文化服务体系。</w:t>
      </w:r>
    </w:p>
    <w:p w14:paraId="0F3CBEF8">
      <w:pPr>
        <w:pStyle w:val="22"/>
        <w:widowControl w:val="0"/>
        <w:overflowPunct w:val="0"/>
        <w:spacing w:before="0" w:beforeAutospacing="0" w:after="0" w:afterAutospacing="0" w:line="560" w:lineRule="exact"/>
        <w:ind w:firstLine="640"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p>
    <w:p w14:paraId="5AF30266">
      <w:pPr>
        <w:pStyle w:val="3"/>
        <w:keepNext w:val="0"/>
        <w:keepLines w:val="0"/>
        <w:overflowPunct w:val="0"/>
        <w:spacing w:before="0" w:after="0" w:line="560" w:lineRule="exact"/>
        <w:jc w:val="center"/>
        <w:rPr>
          <w:rFonts w:ascii="黑体" w:hAnsi="黑体" w:eastAsia="黑体" w:cs="Times New Roman (标题 CS)"/>
          <w:b w:val="0"/>
          <w:color w:val="000000" w:themeColor="text1"/>
          <w14:textFill>
            <w14:solidFill>
              <w14:schemeClr w14:val="tx1"/>
            </w14:solidFill>
          </w14:textFill>
        </w:rPr>
      </w:pPr>
      <w:bookmarkStart w:id="180" w:name="_Toc59811690"/>
      <w:bookmarkStart w:id="181" w:name="_Toc73976174"/>
      <w:bookmarkStart w:id="182" w:name="_Toc74035526"/>
      <w:r>
        <w:rPr>
          <w:rFonts w:hint="eastAsia" w:ascii="黑体" w:hAnsi="黑体" w:eastAsia="黑体" w:cs="Times New Roman (标题 CS)"/>
          <w:b w:val="0"/>
          <w:color w:val="000000" w:themeColor="text1"/>
          <w14:textFill>
            <w14:solidFill>
              <w14:schemeClr w14:val="tx1"/>
            </w14:solidFill>
          </w14:textFill>
        </w:rPr>
        <w:t>第四节 扩大交流合作，构建全方位多元开放格局</w:t>
      </w:r>
      <w:bookmarkEnd w:id="180"/>
      <w:bookmarkEnd w:id="181"/>
      <w:bookmarkEnd w:id="182"/>
    </w:p>
    <w:p w14:paraId="7BBEB0F8">
      <w:pPr>
        <w:spacing w:line="560" w:lineRule="exact"/>
      </w:pPr>
    </w:p>
    <w:p w14:paraId="46F44625">
      <w:pPr>
        <w:pStyle w:val="22"/>
        <w:widowControl w:val="0"/>
        <w:overflowPunct w:val="0"/>
        <w:spacing w:before="0" w:beforeAutospacing="0" w:after="0" w:afterAutospacing="0" w:line="560" w:lineRule="exact"/>
        <w:ind w:firstLine="640"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color w:val="000000" w:themeColor="text1"/>
          <w:kern w:val="2"/>
          <w:sz w:val="32"/>
          <w:szCs w:val="32"/>
          <w14:textFill>
            <w14:solidFill>
              <w14:schemeClr w14:val="tx1"/>
            </w14:solidFill>
          </w14:textFill>
        </w:rPr>
        <w:t>推动鲤城全方位对外开放，培育国际经济合作和竞争新优势。进一步拓展开放领域、优化开放布局，继续推动商品和要素流动型开放，以高水平开放带动区域经济高质量发展。</w:t>
      </w:r>
    </w:p>
    <w:p w14:paraId="49DC2F34">
      <w:pPr>
        <w:pStyle w:val="22"/>
        <w:widowControl w:val="0"/>
        <w:overflowPunct w:val="0"/>
        <w:spacing w:before="0" w:beforeAutospacing="0" w:after="0" w:afterAutospacing="0" w:line="56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深化鲤台全方位交流融合。</w:t>
      </w:r>
      <w:r>
        <w:rPr>
          <w:rFonts w:hint="eastAsia" w:ascii="Times New Roman" w:hAnsi="Times New Roman" w:eastAsia="方正仿宋简体" w:cs="仿宋"/>
          <w:color w:val="000000" w:themeColor="text1"/>
          <w:kern w:val="2"/>
          <w:sz w:val="32"/>
          <w:szCs w:val="32"/>
          <w14:textFill>
            <w14:solidFill>
              <w14:schemeClr w14:val="tx1"/>
            </w14:solidFill>
          </w14:textFill>
        </w:rPr>
        <w:t>加强经济领域合作，精准对台招商引资，推动电子信息、精密机械、医疗健康、文创文旅等优势产业对接。深化社会领域融合，推进各项惠台政策落地。推动文化领域交流，扩大祖地优秀传统文化对台影响，发挥鲤城历史文化厚重、闽南文化资源丰富的优势，运用好通淮关岳庙、霞洲妈祖宫等省级涉台参访点的平台和载体，创造更多交流平台，促进两岸同胞心灵契合。持续实施亲情乡情延续工程。加强鲤台宗亲相互交流，推动两地共同整理研究涉台谱牒文献，共同构建闽南文化传承体系，增进台湾同胞对民族、对国家的认知和感情。统</w:t>
      </w:r>
      <w:r>
        <w:rPr>
          <w:rFonts w:hint="eastAsia" w:ascii="Times New Roman" w:hAnsi="Times New Roman" w:eastAsia="方正仿宋简体" w:cs="仿宋"/>
          <w:color w:val="000000" w:themeColor="text1"/>
          <w:spacing w:val="-6"/>
          <w:kern w:val="2"/>
          <w:sz w:val="32"/>
          <w:szCs w:val="32"/>
          <w14:textFill>
            <w14:solidFill>
              <w14:schemeClr w14:val="tx1"/>
            </w14:solidFill>
          </w14:textFill>
        </w:rPr>
        <w:t>筹推进对台各领域全面融合，加快建设台胞台企登陆的第一家园。</w:t>
      </w:r>
    </w:p>
    <w:p w14:paraId="39B3B6D6">
      <w:pPr>
        <w:pStyle w:val="22"/>
        <w:widowControl w:val="0"/>
        <w:overflowPunct w:val="0"/>
        <w:spacing w:before="0" w:beforeAutospacing="0" w:after="0" w:afterAutospacing="0" w:line="560" w:lineRule="exact"/>
        <w:ind w:firstLine="643" w:firstLineChars="200"/>
        <w:jc w:val="both"/>
        <w:rPr>
          <w:rFonts w:ascii="Times New Roman" w:hAnsi="Times New Roman" w:eastAsia="方正仿宋简体" w:cs="仿宋"/>
          <w:b/>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积极推进涉港澳多领域合作。</w:t>
      </w:r>
      <w:r>
        <w:rPr>
          <w:rFonts w:hint="eastAsia" w:ascii="Times New Roman" w:hAnsi="Times New Roman" w:eastAsia="方正仿宋简体" w:cs="仿宋"/>
          <w:color w:val="000000" w:themeColor="text1"/>
          <w:kern w:val="2"/>
          <w:sz w:val="32"/>
          <w:szCs w:val="32"/>
          <w14:textFill>
            <w14:solidFill>
              <w14:schemeClr w14:val="tx1"/>
            </w14:solidFill>
          </w14:textFill>
        </w:rPr>
        <w:t>携手港澳“并船出海”，共同参与“一带一路”建设。积极支持政府部门、街道办事处、社会团体等开展形式多样的涉港、涉澳多领域交流，进一步深化鲤港、鲤澳在经贸、教育、文化、旅游、科技、卫生等方面的交流与合作，引进落实一批有示范引领作用的项目，加快形成新行业、新业态、新商业模式，为鲤城经济高质量发展提供重要支撑。加大政策优惠力度，吸引港澳优秀人才到鲤城创业置业，实现三地人才优势互补，助力美好鲤城建设。</w:t>
      </w:r>
    </w:p>
    <w:p w14:paraId="586D9F28">
      <w:pPr>
        <w:pStyle w:val="22"/>
        <w:widowControl w:val="0"/>
        <w:overflowPunct w:val="0"/>
        <w:spacing w:before="0" w:beforeAutospacing="0" w:after="0" w:afterAutospacing="0" w:line="560" w:lineRule="exact"/>
        <w:ind w:firstLine="643" w:firstLineChars="200"/>
        <w:jc w:val="both"/>
        <w:rPr>
          <w:rFonts w:ascii="Times New Roman" w:hAnsi="Times New Roman" w:eastAsia="方正仿宋简体" w:cs="仿宋"/>
          <w:color w:val="000000" w:themeColor="text1"/>
          <w:kern w:val="2"/>
          <w:sz w:val="32"/>
          <w:szCs w:val="32"/>
          <w14:textFill>
            <w14:solidFill>
              <w14:schemeClr w14:val="tx1"/>
            </w14:solidFill>
          </w14:textFill>
        </w:rPr>
      </w:pPr>
      <w:r>
        <w:rPr>
          <w:rFonts w:hint="eastAsia" w:ascii="Times New Roman" w:hAnsi="Times New Roman" w:eastAsia="方正仿宋简体" w:cs="仿宋"/>
          <w:b/>
          <w:color w:val="000000" w:themeColor="text1"/>
          <w:kern w:val="2"/>
          <w:sz w:val="32"/>
          <w:szCs w:val="32"/>
          <w14:textFill>
            <w14:solidFill>
              <w14:schemeClr w14:val="tx1"/>
            </w14:solidFill>
          </w14:textFill>
        </w:rPr>
        <w:t>加强海丝开放宽领域交流合作。</w:t>
      </w:r>
      <w:r>
        <w:rPr>
          <w:rFonts w:hint="eastAsia" w:ascii="Times New Roman" w:hAnsi="Times New Roman" w:eastAsia="方正仿宋简体" w:cs="仿宋"/>
          <w:color w:val="000000" w:themeColor="text1"/>
          <w:kern w:val="2"/>
          <w:sz w:val="32"/>
          <w:szCs w:val="32"/>
          <w14:textFill>
            <w14:solidFill>
              <w14:schemeClr w14:val="tx1"/>
            </w14:solidFill>
          </w14:textFill>
        </w:rPr>
        <w:t>持续扩大服务贸易规模，发展特色服务贸易；深度融入共建“一带一路”大格局，加快形成面向中亚南亚西亚国家的通道、商贸物流枢纽、重要产业和人文交流基地，构筑效率高、成本低、服务优的国际贸易通道，让高水平开放经济的机制深入到鲤城。在金融、教育、文化、医疗等领域进一步放宽服务业市场准入，以高水平开放促进服务业结构调整优化。招商引资引技引智紧密结合，加强与世界500强企业对接，推动信息咨询等领域对外开放，招引一批高质量外资项目。依托区侨商会平台，鼓励侨商回乡创业投资，进一步凝聚侨心、汇集侨智、发挥侨力，继续发挥“侨”的优势和“桥”的作用，为鲤城建设作出更大贡献。</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9"/>
      </w:tblGrid>
      <w:tr w14:paraId="2958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9" w:type="dxa"/>
            <w:shd w:val="clear" w:color="auto" w:fill="auto"/>
          </w:tcPr>
          <w:p w14:paraId="1A71659B">
            <w:pPr>
              <w:widowControl w:val="0"/>
              <w:snapToGrid w:val="0"/>
              <w:spacing w:line="380" w:lineRule="exact"/>
              <w:jc w:val="center"/>
              <w:rPr>
                <w:rFonts w:ascii="Times New Roman" w:hAnsi="Times New Roman" w:eastAsia="方正仿宋简体" w:cs="仿宋"/>
                <w:b/>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t>专栏23 对外交流重要措施</w:t>
            </w:r>
          </w:p>
        </w:tc>
      </w:tr>
      <w:tr w14:paraId="03CE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9" w:type="dxa"/>
            <w:shd w:val="clear" w:color="auto" w:fill="auto"/>
          </w:tcPr>
          <w:p w14:paraId="2E6A6542">
            <w:pPr>
              <w:pStyle w:val="22"/>
              <w:widowControl w:val="0"/>
              <w:spacing w:before="0" w:beforeAutospacing="0" w:after="0" w:afterAutospacing="0" w:line="380" w:lineRule="exact"/>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加大惠台政策宣传，营造宜商宜居环境。</w:t>
            </w:r>
            <w:r>
              <w:rPr>
                <w:rFonts w:hint="eastAsia" w:ascii="Times New Roman" w:hAnsi="Times New Roman" w:eastAsia="方正仿宋简体" w:cs="仿宋"/>
                <w:color w:val="000000" w:themeColor="text1"/>
                <w:szCs w:val="32"/>
                <w14:textFill>
                  <w14:solidFill>
                    <w14:schemeClr w14:val="tx1"/>
                  </w14:solidFill>
                </w14:textFill>
              </w:rPr>
              <w:t>积极宣传、贯彻中央31条、中央26条、省66条、市73条等惠台措施及《台湾同胞投资保护法》等法律法规，维护台商合法权益，推动企业赴台开展经贸交流和商务考察，构建优越投资环境、政策环境、服务环境和宜居环境。</w:t>
            </w:r>
          </w:p>
          <w:p w14:paraId="3B38E50F">
            <w:pPr>
              <w:pStyle w:val="22"/>
              <w:widowControl w:val="0"/>
              <w:spacing w:before="0" w:beforeAutospacing="0" w:after="0" w:afterAutospacing="0" w:line="380" w:lineRule="exact"/>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协调开展港澳青少年交流合作活动。</w:t>
            </w:r>
            <w:r>
              <w:rPr>
                <w:rFonts w:hint="eastAsia" w:ascii="Times New Roman" w:hAnsi="Times New Roman" w:eastAsia="方正仿宋简体" w:cs="仿宋"/>
                <w:color w:val="000000" w:themeColor="text1"/>
                <w:szCs w:val="32"/>
                <w14:textFill>
                  <w14:solidFill>
                    <w14:schemeClr w14:val="tx1"/>
                  </w14:solidFill>
                </w14:textFill>
              </w:rPr>
              <w:t>持续推动港澳青年学生来鲤游学，配合市里开展泉港澳学生夏（冬）令营等活动，提升港澳青年对祖国、对家乡、对中华传统文化的认同感、归属感。</w:t>
            </w:r>
          </w:p>
          <w:p w14:paraId="50910E32">
            <w:pPr>
              <w:widowControl w:val="0"/>
              <w:overflowPunct w:val="0"/>
              <w:spacing w:line="380" w:lineRule="exact"/>
              <w:ind w:right="72" w:rightChars="30" w:firstLine="562" w:firstLineChars="200"/>
              <w:jc w:val="both"/>
              <w:rPr>
                <w:rFonts w:ascii="Times New Roman" w:hAnsi="Times New Roman" w:eastAsia="方正仿宋简体" w:cs="仿宋"/>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加强海丝沿线国家交流。</w:t>
            </w:r>
            <w:r>
              <w:rPr>
                <w:rFonts w:hint="eastAsia" w:ascii="Times New Roman" w:hAnsi="Times New Roman" w:eastAsia="方正仿宋简体" w:cs="仿宋"/>
                <w:color w:val="000000" w:themeColor="text1"/>
                <w:szCs w:val="32"/>
                <w14:textFill>
                  <w14:solidFill>
                    <w14:schemeClr w14:val="tx1"/>
                  </w14:solidFill>
                </w14:textFill>
              </w:rPr>
              <w:t>积极推动我区与斯里兰卡等“一带一路”沿线国家之间经贸、文化、旅游等领域的交流合作，加快“锡兰王子”主题电影投拍，深化国际友城双向交流。持续拓展国际交流合作“朋友圈”，发展“好伙伴”，形成“海丝”文化共建合力。</w:t>
            </w:r>
          </w:p>
        </w:tc>
      </w:tr>
    </w:tbl>
    <w:p w14:paraId="6DCCEF8D">
      <w:pPr>
        <w:widowControl w:val="0"/>
        <w:rPr>
          <w:rFonts w:ascii="Times New Roman" w:hAnsi="Times New Roman"/>
          <w:color w:val="000000" w:themeColor="text1"/>
          <w14:textFill>
            <w14:solidFill>
              <w14:schemeClr w14:val="tx1"/>
            </w14:solidFill>
          </w14:textFill>
        </w:rPr>
        <w:sectPr>
          <w:pgSz w:w="11900" w:h="16840"/>
          <w:pgMar w:top="1928" w:right="1474" w:bottom="1701" w:left="1588" w:header="851" w:footer="992" w:gutter="0"/>
          <w:cols w:space="425" w:num="1"/>
          <w:docGrid w:type="lines" w:linePitch="423" w:charSpace="0"/>
        </w:sectPr>
      </w:pPr>
    </w:p>
    <w:p w14:paraId="67325919">
      <w:pPr>
        <w:pStyle w:val="2"/>
        <w:overflowPunct w:val="0"/>
        <w:spacing w:after="0" w:line="590" w:lineRule="exact"/>
        <w:ind w:firstLine="0" w:firstLineChars="0"/>
        <w:jc w:val="center"/>
        <w:rPr>
          <w:rFonts w:ascii="黑体" w:hAnsi="黑体"/>
          <w:b w:val="0"/>
          <w:bCs/>
          <w:color w:val="000000" w:themeColor="text1"/>
          <w:sz w:val="36"/>
          <w14:textFill>
            <w14:solidFill>
              <w14:schemeClr w14:val="tx1"/>
            </w14:solidFill>
          </w14:textFill>
        </w:rPr>
      </w:pPr>
      <w:bookmarkStart w:id="183" w:name="_Toc59811691"/>
      <w:bookmarkStart w:id="184" w:name="_Toc74035527"/>
      <w:bookmarkStart w:id="185" w:name="_Toc73976175"/>
      <w:r>
        <w:rPr>
          <w:rFonts w:hint="eastAsia" w:ascii="黑体" w:hAnsi="黑体"/>
          <w:b w:val="0"/>
          <w:bCs/>
          <w:color w:val="000000" w:themeColor="text1"/>
          <w:sz w:val="36"/>
          <w14:textFill>
            <w14:solidFill>
              <w14:schemeClr w14:val="tx1"/>
            </w14:solidFill>
          </w14:textFill>
        </w:rPr>
        <w:t>第十一章 共享发展，增进民生福祉提升幸福指数</w:t>
      </w:r>
      <w:bookmarkEnd w:id="183"/>
      <w:bookmarkEnd w:id="184"/>
      <w:bookmarkEnd w:id="185"/>
    </w:p>
    <w:p w14:paraId="6636370E">
      <w:pPr>
        <w:widowControl w:val="0"/>
      </w:pPr>
    </w:p>
    <w:p w14:paraId="350CAAF7">
      <w:pPr>
        <w:pStyle w:val="22"/>
        <w:widowControl w:val="0"/>
        <w:overflowPunct w:val="0"/>
        <w:spacing w:before="0" w:beforeAutospacing="0" w:after="0" w:afterAutospacing="0"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以“保障和改善民生没有终点，只有连续不断的新起点”为根本遵循，坚持普惠性、保基本、均等化、可持续方向，从解决人民最关心、最直接、最现实的利益问题入手，增强政府职责，提高公共服务共建能力和共享水平，更大幅度提高居民的幸福指数，让广大群众有更多获得感、幸福感、安全感。</w:t>
      </w:r>
    </w:p>
    <w:p w14:paraId="1753381E">
      <w:pPr>
        <w:pStyle w:val="22"/>
        <w:widowControl w:val="0"/>
        <w:overflowPunct w:val="0"/>
        <w:spacing w:before="0" w:beforeAutospacing="0" w:after="0" w:afterAutospacing="0"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p>
    <w:p w14:paraId="67E6EFE6">
      <w:pPr>
        <w:pStyle w:val="3"/>
        <w:keepNext w:val="0"/>
        <w:keepLines w:val="0"/>
        <w:overflowPunct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186" w:name="_Toc59811692"/>
      <w:bookmarkStart w:id="187" w:name="_Toc73976176"/>
      <w:bookmarkStart w:id="188" w:name="_Toc74035528"/>
      <w:r>
        <w:rPr>
          <w:rFonts w:hint="eastAsia" w:ascii="黑体" w:hAnsi="黑体" w:eastAsia="黑体" w:cs="Times New Roman (标题 CS)"/>
          <w:b w:val="0"/>
          <w:color w:val="000000" w:themeColor="text1"/>
          <w14:textFill>
            <w14:solidFill>
              <w14:schemeClr w14:val="tx1"/>
            </w14:solidFill>
          </w14:textFill>
        </w:rPr>
        <w:t>第一节 促进就业收入分配合理化</w:t>
      </w:r>
      <w:bookmarkEnd w:id="186"/>
      <w:bookmarkEnd w:id="187"/>
      <w:bookmarkEnd w:id="188"/>
    </w:p>
    <w:p w14:paraId="40A6B810">
      <w:pPr>
        <w:widowControl w:val="0"/>
      </w:pPr>
    </w:p>
    <w:p w14:paraId="54C283DE">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促进充分就业、公平就业、稳定就业，规范收入分配秩序，增加低收入者收入，扩大中等收入者比重，努力缩小区域、行业收入分配差距，逐步形成橄榄型收入分配结构，进一步巩固拓展脱贫攻坚成果。</w:t>
      </w:r>
    </w:p>
    <w:p w14:paraId="150D23B5">
      <w:pPr>
        <w:widowControl w:val="0"/>
        <w:overflowPunct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实施积极就业政策。</w:t>
      </w:r>
      <w:r>
        <w:rPr>
          <w:rFonts w:hint="eastAsia" w:ascii="Times New Roman" w:hAnsi="Times New Roman" w:eastAsia="方正仿宋简体" w:cs="仿宋"/>
          <w:color w:val="000000" w:themeColor="text1"/>
          <w:sz w:val="32"/>
          <w:szCs w:val="32"/>
          <w14:textFill>
            <w14:solidFill>
              <w14:schemeClr w14:val="tx1"/>
            </w14:solidFill>
          </w14:textFill>
        </w:rPr>
        <w:t>以发展拉动就业，完善产业、财税、投资等经济政策与促进就业政策的配套衔接，发挥小微企业和非公有制经济在促进就业中的主渠道作用，创造更多就业岗位和机会。以创业带动就业，以帮扶援助就业。进一步加强基层公共就业服务平台和网络建设，统筹做好高校毕业生、退役军人、失地农民、城市就业困难人群就业帮扶工作，关注边缘就业群体，积极化解隐性失业风险，支持灵活就业和新就业形态。</w:t>
      </w:r>
    </w:p>
    <w:p w14:paraId="4C596F37">
      <w:pPr>
        <w:widowControl w:val="0"/>
        <w:overflowPunct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完善收入分配制度。</w:t>
      </w:r>
      <w:r>
        <w:rPr>
          <w:rFonts w:hint="eastAsia" w:ascii="Times New Roman" w:hAnsi="Times New Roman" w:eastAsia="方正仿宋简体" w:cs="仿宋"/>
          <w:color w:val="000000" w:themeColor="text1"/>
          <w:sz w:val="32"/>
          <w:szCs w:val="32"/>
          <w14:textFill>
            <w14:solidFill>
              <w14:schemeClr w14:val="tx1"/>
            </w14:solidFill>
          </w14:textFill>
        </w:rPr>
        <w:t>建立健全工资正常增长机制、工资支付保障机制、工资集体协商机制，推动最低工资标准动态调整，努力实现居民收入增长和经济增长基本同步、劳动报酬提高和劳动生产率提高同步，持续增加居民收入。健全由资本、知识、技术、管理等要素市场决定的报酬机制，创造条件增加居民财产性收入。鼓励民间资本积极创业致富，拓宽经营性收入来源。</w:t>
      </w:r>
    </w:p>
    <w:p w14:paraId="07639B7A">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p w14:paraId="282E4D91">
      <w:pPr>
        <w:pStyle w:val="3"/>
        <w:keepNext w:val="0"/>
        <w:keepLines w:val="0"/>
        <w:overflowPunct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189" w:name="_Toc73976177"/>
      <w:bookmarkStart w:id="190" w:name="_Toc59811693"/>
      <w:bookmarkStart w:id="191" w:name="_Toc74035529"/>
      <w:r>
        <w:rPr>
          <w:rFonts w:hint="eastAsia" w:ascii="黑体" w:hAnsi="黑体" w:eastAsia="黑体" w:cs="Times New Roman (标题 CS)"/>
          <w:b w:val="0"/>
          <w:color w:val="000000" w:themeColor="text1"/>
          <w14:textFill>
            <w14:solidFill>
              <w14:schemeClr w14:val="tx1"/>
            </w14:solidFill>
          </w14:textFill>
        </w:rPr>
        <w:t>第二节 构建多层次社会保障体系</w:t>
      </w:r>
      <w:bookmarkEnd w:id="189"/>
      <w:bookmarkEnd w:id="190"/>
      <w:bookmarkEnd w:id="191"/>
    </w:p>
    <w:p w14:paraId="051056F8"/>
    <w:p w14:paraId="67825232">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加强社会保险、社会救助、社会福利衔接和协调，按照兜底线、织密网、建机制的要求，全面建成覆盖全民、区域统筹、权责清晰、保障适度、可持续的多层次社会保障体系。</w:t>
      </w:r>
    </w:p>
    <w:p w14:paraId="6A258427">
      <w:pPr>
        <w:pStyle w:val="22"/>
        <w:widowControl w:val="0"/>
        <w:overflowPunct w:val="0"/>
        <w:spacing w:before="0" w:beforeAutospacing="0" w:after="0" w:afterAutospacing="0"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完善社会保险体系。</w:t>
      </w:r>
      <w:r>
        <w:rPr>
          <w:rFonts w:hint="eastAsia" w:ascii="Times New Roman" w:hAnsi="Times New Roman" w:eastAsia="方正仿宋简体"/>
          <w:color w:val="000000" w:themeColor="text1"/>
          <w:sz w:val="32"/>
          <w:szCs w:val="32"/>
          <w14:textFill>
            <w14:solidFill>
              <w14:schemeClr w14:val="tx1"/>
            </w14:solidFill>
          </w14:textFill>
        </w:rPr>
        <w:t>实施全民参保计划，不断扩大社会保障覆盖面，加强社会保障统筹，坚持和落实基本医保制度，实施职工和城乡居民分类保障，推进职工医保和生育保险合并实施，完善职工基本养老、失业、工伤保险等制度，健全各项社会保险转移接续政策。加大公共财政投入和社会保险基金征缴力度，健全</w:t>
      </w:r>
      <w:r>
        <w:rPr>
          <w:rFonts w:hint="eastAsia" w:ascii="Times New Roman" w:hAnsi="Times New Roman" w:eastAsia="方正仿宋简体"/>
          <w:color w:val="000000" w:themeColor="text1"/>
          <w:spacing w:val="-8"/>
          <w:sz w:val="32"/>
          <w:szCs w:val="32"/>
          <w14:textFill>
            <w14:solidFill>
              <w14:schemeClr w14:val="tx1"/>
            </w14:solidFill>
          </w14:textFill>
        </w:rPr>
        <w:t>社会保障待遇标准正常增长机制，稳步提高各项社会保险待遇水平。</w:t>
      </w:r>
    </w:p>
    <w:p w14:paraId="661FFDD9">
      <w:pPr>
        <w:widowControl w:val="0"/>
        <w:overflowPunct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完善社会救助体系。</w:t>
      </w:r>
      <w:r>
        <w:rPr>
          <w:rFonts w:hint="eastAsia" w:ascii="Times New Roman" w:hAnsi="Times New Roman" w:eastAsia="方正仿宋简体" w:cs="仿宋"/>
          <w:color w:val="000000" w:themeColor="text1"/>
          <w:sz w:val="32"/>
          <w:szCs w:val="32"/>
          <w14:textFill>
            <w14:solidFill>
              <w14:schemeClr w14:val="tx1"/>
            </w14:solidFill>
          </w14:textFill>
        </w:rPr>
        <w:t>建立健全以最低生活保障为基础、专项救助相配套、临时救助和社会互助为补充的社会救助制度，对符合条件的对象做到应保尽保。完善社会救助标准动态调整机制，实现低保与扶贫、失业保险、特重大疾病医疗等救济标准与经济发展、物价水平联动。全面实施临时救助制度，积极推进“救急难”工作。鼓励和支持慈善组织在灾害救助、贫困救济、医疗救助、教育救助、扶老助残和其他公益事业领域发挥积极作用，推动慈善事业健康发展，全面建成慈善公益城市。</w:t>
      </w:r>
    </w:p>
    <w:p w14:paraId="1B2AAC8A">
      <w:pPr>
        <w:widowControl w:val="0"/>
        <w:overflowPunct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完善住房保障体系。</w:t>
      </w:r>
      <w:r>
        <w:rPr>
          <w:rFonts w:hint="eastAsia" w:ascii="Times New Roman" w:hAnsi="Times New Roman" w:eastAsia="方正仿宋简体" w:cs="仿宋"/>
          <w:color w:val="000000" w:themeColor="text1"/>
          <w:sz w:val="32"/>
          <w:szCs w:val="32"/>
          <w14:textFill>
            <w14:solidFill>
              <w14:schemeClr w14:val="tx1"/>
            </w14:solidFill>
          </w14:textFill>
        </w:rPr>
        <w:t>加快构建和完善以政府为主提供基本保障、以市场为主满足多层次需求的住房供应体系，不断扩大住房保障覆盖面，提升住房保障的能力和水平。通过回购商品房、货币化安置等多种方式筹集保障房房源，鼓励引导社会资本有序参与保障性住房建设与运营。完善保障性住房管理制度，加强准入、使用、退出等全过程管理，确保保障性住房配租政策程序合理、公开透明，有效解决困难群众住房问题。</w:t>
      </w:r>
    </w:p>
    <w:p w14:paraId="6E29F5F3">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p w14:paraId="4BD234F5">
      <w:pPr>
        <w:pStyle w:val="3"/>
        <w:keepNext w:val="0"/>
        <w:keepLines w:val="0"/>
        <w:overflowPunct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192" w:name="_Toc59811694"/>
      <w:bookmarkStart w:id="193" w:name="_Toc73976178"/>
      <w:bookmarkStart w:id="194" w:name="_Toc74035530"/>
      <w:r>
        <w:rPr>
          <w:rFonts w:hint="eastAsia" w:ascii="黑体" w:hAnsi="黑体" w:eastAsia="黑体" w:cs="Times New Roman (标题 CS)"/>
          <w:b w:val="0"/>
          <w:color w:val="000000" w:themeColor="text1"/>
          <w14:textFill>
            <w14:solidFill>
              <w14:schemeClr w14:val="tx1"/>
            </w14:solidFill>
          </w14:textFill>
        </w:rPr>
        <w:t>第三节</w:t>
      </w:r>
      <w:bookmarkEnd w:id="192"/>
      <w:r>
        <w:rPr>
          <w:rFonts w:hint="eastAsia" w:ascii="黑体" w:hAnsi="黑体" w:eastAsia="黑体" w:cs="Times New Roman (标题 CS)"/>
          <w:b w:val="0"/>
          <w:color w:val="000000" w:themeColor="text1"/>
          <w14:textFill>
            <w14:solidFill>
              <w14:schemeClr w14:val="tx1"/>
            </w14:solidFill>
          </w14:textFill>
        </w:rPr>
        <w:t xml:space="preserve"> 打造现代化“教育强区”</w:t>
      </w:r>
      <w:bookmarkEnd w:id="193"/>
      <w:bookmarkEnd w:id="194"/>
    </w:p>
    <w:p w14:paraId="1103D237"/>
    <w:p w14:paraId="0D0FE397">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巩固提升鲤城全省首批“教育强区”的发展内涵和水平，坚持教育优先发展，通过实施鲤城教育新一轮发展“十大工程”，缩小古城新区办学水平差距，促进鲤城教育新一轮更高质量、更加公平发展，以办好人民满意的教育为目标，形成“学在鲤城”的教育品牌，打造现代化“教育强区”。</w:t>
      </w:r>
    </w:p>
    <w:p w14:paraId="2A0315E0">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以</w:t>
      </w:r>
      <w:r>
        <w:rPr>
          <w:rFonts w:hint="eastAsia" w:ascii="Times New Roman" w:hAnsi="Times New Roman" w:eastAsia="方正仿宋简体" w:cs="仿宋"/>
          <w:b/>
          <w:color w:val="000000" w:themeColor="text1"/>
          <w:sz w:val="32"/>
          <w:szCs w:val="32"/>
          <w14:textFill>
            <w14:solidFill>
              <w14:schemeClr w14:val="tx1"/>
            </w14:solidFill>
          </w14:textFill>
        </w:rPr>
        <w:t>“一基金、一中心、一集团”</w:t>
      </w:r>
      <w:r>
        <w:rPr>
          <w:rStyle w:val="34"/>
          <w:rFonts w:hint="eastAsia" w:ascii="Times New Roman" w:hAnsi="Times New Roman" w:eastAsia="方正仿宋简体"/>
          <w:color w:val="000000" w:themeColor="text1"/>
          <w14:textFill>
            <w14:solidFill>
              <w14:schemeClr w14:val="tx1"/>
            </w14:solidFill>
          </w14:textFill>
        </w:rPr>
        <w:footnoteReference w:id="6"/>
      </w:r>
      <w:r>
        <w:rPr>
          <w:rFonts w:hint="eastAsia" w:ascii="Times New Roman" w:hAnsi="Times New Roman" w:eastAsia="方正仿宋简体" w:cs="仿宋"/>
          <w:color w:val="000000" w:themeColor="text1"/>
          <w:sz w:val="32"/>
          <w:szCs w:val="32"/>
          <w14:textFill>
            <w14:solidFill>
              <w14:schemeClr w14:val="tx1"/>
            </w14:solidFill>
          </w14:textFill>
        </w:rPr>
        <w:t>模式保障教育发展，鼓励社会多种力量投身教育，探索股份制、混合所有制的社会力量办学机制，鼓励以资本、知识、技术、管理等要素参与办学。利用互联网等信息技术，发展在线教育和远程教育，促进数字资源共建共享，发展形式多样的教育培训服务。探索新一轮幼儿园、中小学与高校合作办学模式，整体提升我区学校办学水平。深化与国际、港澳台教育交流合作，加强师生国际交流学习，积极引进港澳台优质教育资源，实施教育联合人才培养项目。</w:t>
      </w:r>
    </w:p>
    <w:p w14:paraId="1EE2E960">
      <w:pPr>
        <w:widowControl w:val="0"/>
        <w:overflowPunct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大力发展学前教育。</w:t>
      </w:r>
      <w:r>
        <w:rPr>
          <w:rFonts w:hint="eastAsia" w:ascii="Times New Roman" w:hAnsi="Times New Roman" w:eastAsia="方正仿宋简体" w:cs="仿宋"/>
          <w:color w:val="000000" w:themeColor="text1"/>
          <w:sz w:val="32"/>
          <w:szCs w:val="32"/>
          <w14:textFill>
            <w14:solidFill>
              <w14:schemeClr w14:val="tx1"/>
            </w14:solidFill>
          </w14:textFill>
        </w:rPr>
        <w:t>逐步加大财政支持力度，积极探索0－3岁早教工作，大力发展公办幼儿园，确保每个街道都有一所区属公办幼儿园；支持普惠性民办幼儿园建设，鼓励社会力量办园，积极创建一批“福建省保教改革建设幼儿园”及省、市级示范幼儿园。</w:t>
      </w:r>
    </w:p>
    <w:p w14:paraId="6E3BD3FA">
      <w:pPr>
        <w:widowControl w:val="0"/>
        <w:overflowPunct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推进义务教育均衡发展。</w:t>
      </w:r>
      <w:r>
        <w:rPr>
          <w:rFonts w:hint="eastAsia" w:ascii="Times New Roman" w:hAnsi="Times New Roman" w:eastAsia="方正仿宋简体" w:cs="仿宋"/>
          <w:color w:val="000000" w:themeColor="text1"/>
          <w:sz w:val="32"/>
          <w:szCs w:val="32"/>
          <w14:textFill>
            <w14:solidFill>
              <w14:schemeClr w14:val="tx1"/>
            </w14:solidFill>
          </w14:textFill>
        </w:rPr>
        <w:t>着力引进和集聚优质教育资源，扩大优质资源覆盖面。实行义务教育组团式小片区管理模式，充分发挥优质学校的引领带动作用，促进组团片区内中小学的校际合作、教师交流、资源共享，推进老城新区义务教育优质均衡发展，全面完成新增16所福建省“义务教育管理标准化学校”的创建工作。</w:t>
      </w:r>
    </w:p>
    <w:p w14:paraId="29F0BDBE">
      <w:pPr>
        <w:widowControl w:val="0"/>
        <w:overflowPunct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扩大优质高中教育资源。</w:t>
      </w:r>
      <w:r>
        <w:rPr>
          <w:rFonts w:hint="eastAsia" w:ascii="Times New Roman" w:hAnsi="Times New Roman" w:eastAsia="方正仿宋简体" w:cs="仿宋"/>
          <w:color w:val="000000" w:themeColor="text1"/>
          <w:sz w:val="32"/>
          <w:szCs w:val="32"/>
          <w14:textFill>
            <w14:solidFill>
              <w14:schemeClr w14:val="tx1"/>
            </w14:solidFill>
          </w14:textFill>
        </w:rPr>
        <w:t>加快普通高中优质化、精品化、特色化进程。加大资金投入，确保泉州七中通过省示范性高中评审、福师大泉州附中通过省一级达标高中验收，泉州六中通过省二级</w:t>
      </w:r>
      <w:r>
        <w:rPr>
          <w:rFonts w:hint="eastAsia" w:ascii="Times New Roman" w:hAnsi="Times New Roman" w:eastAsia="方正仿宋简体" w:cs="仿宋"/>
          <w:color w:val="000000" w:themeColor="text1"/>
          <w:spacing w:val="-6"/>
          <w:sz w:val="32"/>
          <w:szCs w:val="32"/>
          <w14:textFill>
            <w14:solidFill>
              <w14:schemeClr w14:val="tx1"/>
            </w14:solidFill>
          </w14:textFill>
        </w:rPr>
        <w:t>达标高中验收，实现鲤城公办完全中学均在省二级达标中学以上。</w:t>
      </w:r>
    </w:p>
    <w:p w14:paraId="729CD55F">
      <w:pPr>
        <w:widowControl w:val="0"/>
        <w:overflowPunct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突出发展特色职业教育。</w:t>
      </w:r>
      <w:r>
        <w:rPr>
          <w:rFonts w:hint="eastAsia" w:ascii="Times New Roman" w:hAnsi="Times New Roman" w:eastAsia="方正仿宋简体" w:cs="仿宋"/>
          <w:color w:val="000000" w:themeColor="text1"/>
          <w:sz w:val="32"/>
          <w:szCs w:val="32"/>
          <w14:textFill>
            <w14:solidFill>
              <w14:schemeClr w14:val="tx1"/>
            </w14:solidFill>
          </w14:textFill>
        </w:rPr>
        <w:t>贯彻上级产教融合的精神，推进教育优质均衡发展，在江南新区规划建设泉州职教产业园。继续发挥中等职业教育示范引领作用，实现职业教育规模、专业设置与区域经济社会发展需求相适应，精准对接泉州产业需求，持续为泉州制造业输送适用人才。</w:t>
      </w:r>
    </w:p>
    <w:p w14:paraId="21232BB4">
      <w:pPr>
        <w:widowControl w:val="0"/>
        <w:overflowPunct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构建完备全民教育体系。</w:t>
      </w:r>
      <w:r>
        <w:rPr>
          <w:rFonts w:hint="eastAsia" w:ascii="Times New Roman" w:hAnsi="Times New Roman" w:eastAsia="方正仿宋简体" w:cs="仿宋"/>
          <w:color w:val="000000" w:themeColor="text1"/>
          <w:sz w:val="32"/>
          <w:szCs w:val="32"/>
          <w14:textFill>
            <w14:solidFill>
              <w14:schemeClr w14:val="tx1"/>
            </w14:solidFill>
          </w14:textFill>
        </w:rPr>
        <w:t>广泛开展城市社区教育，加快各类学习型组织建设，建立分档次的学历教育、技能培训教育资源学习平台和社区学校，努力构建学有所成、学有所需、学有所用的全民教育体系。</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9"/>
      </w:tblGrid>
      <w:tr w14:paraId="7D4C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9" w:type="dxa"/>
            <w:shd w:val="clear" w:color="auto" w:fill="auto"/>
          </w:tcPr>
          <w:p w14:paraId="4F2CC87C">
            <w:pPr>
              <w:widowControl w:val="0"/>
              <w:snapToGrid w:val="0"/>
              <w:spacing w:line="400" w:lineRule="exact"/>
              <w:jc w:val="center"/>
              <w:rPr>
                <w:rFonts w:ascii="Times New Roman" w:hAnsi="Times New Roman" w:eastAsia="方正仿宋简体" w:cs="仿宋"/>
                <w:b/>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t>专栏24 教育事业高质量发展行动方案</w:t>
            </w:r>
          </w:p>
        </w:tc>
      </w:tr>
      <w:tr w14:paraId="7D8D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9" w:type="dxa"/>
            <w:shd w:val="clear" w:color="auto" w:fill="auto"/>
          </w:tcPr>
          <w:p w14:paraId="331E4072">
            <w:pPr>
              <w:widowControl w:val="0"/>
              <w:snapToGrid w:val="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全面实现学前教育普惠安全优质发展。</w:t>
            </w:r>
            <w:r>
              <w:rPr>
                <w:rFonts w:hint="eastAsia" w:ascii="Times New Roman" w:hAnsi="Times New Roman" w:eastAsia="方正仿宋简体" w:cs="仿宋"/>
                <w:color w:val="000000" w:themeColor="text1"/>
                <w:szCs w:val="32"/>
                <w14:textFill>
                  <w14:solidFill>
                    <w14:schemeClr w14:val="tx1"/>
                  </w14:solidFill>
                </w14:textFill>
              </w:rPr>
              <w:t>全区适龄幼儿学前三年入园率巩固达100%以上，公办性质幼儿园在园幼儿数占比巩固在62%以上，普惠性学前教育覆盖率在90%以上，基本实现学前教育公共服务全覆盖。</w:t>
            </w:r>
          </w:p>
          <w:p w14:paraId="6A2EA4AF">
            <w:pPr>
              <w:widowControl w:val="0"/>
              <w:snapToGrid w:val="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全面实现义务教育公平优质均衡发展。</w:t>
            </w:r>
            <w:r>
              <w:rPr>
                <w:rFonts w:hint="eastAsia" w:ascii="Times New Roman" w:hAnsi="Times New Roman" w:eastAsia="方正仿宋简体" w:cs="仿宋"/>
                <w:color w:val="000000" w:themeColor="text1"/>
                <w:szCs w:val="32"/>
                <w14:textFill>
                  <w14:solidFill>
                    <w14:schemeClr w14:val="tx1"/>
                  </w14:solidFill>
                </w14:textFill>
              </w:rPr>
              <w:t>加强小学扩容工作，继续推动义务教育优质均衡发展。九年义务教育巩固率在99.5%以上，全面完成福建省“义务教育管理标准化学校”创建工作。</w:t>
            </w:r>
          </w:p>
          <w:p w14:paraId="68B02831">
            <w:pPr>
              <w:widowControl w:val="0"/>
              <w:snapToGrid w:val="0"/>
              <w:ind w:firstLine="562" w:firstLineChars="200"/>
              <w:jc w:val="both"/>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全面提供优质多样的高中阶段教育。</w:t>
            </w:r>
            <w:r>
              <w:rPr>
                <w:rFonts w:hint="eastAsia" w:ascii="Times New Roman" w:hAnsi="Times New Roman" w:eastAsia="方正仿宋简体" w:cs="仿宋"/>
                <w:color w:val="000000" w:themeColor="text1"/>
                <w:szCs w:val="32"/>
                <w14:textFill>
                  <w14:solidFill>
                    <w14:schemeClr w14:val="tx1"/>
                  </w14:solidFill>
                </w14:textFill>
              </w:rPr>
              <w:t>高中阶段毛入学率保持在96%以上；应届初中升入高中阶段完成率保持在95%以上，应届初中毕业生升入高中阶段的普职比相当，中职、普高教育保持协调发展。</w:t>
            </w:r>
          </w:p>
          <w:p w14:paraId="57224AAA">
            <w:pPr>
              <w:widowControl w:val="0"/>
              <w:snapToGrid w:val="0"/>
              <w:ind w:firstLine="562" w:firstLineChars="200"/>
              <w:jc w:val="both"/>
              <w:rPr>
                <w:rFonts w:ascii="Times New Roman" w:hAnsi="Times New Roman" w:eastAsia="方正仿宋简体" w:cs="仿宋"/>
                <w:b/>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全面提升职业教育服务城市、产业发展能力水平。</w:t>
            </w:r>
            <w:r>
              <w:rPr>
                <w:rFonts w:hint="eastAsia" w:ascii="Times New Roman" w:hAnsi="Times New Roman" w:eastAsia="方正仿宋简体" w:cs="仿宋"/>
                <w:color w:val="000000" w:themeColor="text1"/>
                <w:szCs w:val="32"/>
                <w14:textFill>
                  <w14:solidFill>
                    <w14:schemeClr w14:val="tx1"/>
                  </w14:solidFill>
                </w14:textFill>
              </w:rPr>
              <w:t>力争泉中职校与明新中学剥离，推动泉中职校争创“全国达标中等职业学校”。</w:t>
            </w:r>
          </w:p>
          <w:p w14:paraId="0E137E21">
            <w:pPr>
              <w:widowControl w:val="0"/>
              <w:snapToGrid w:val="0"/>
              <w:ind w:firstLine="562" w:firstLineChars="200"/>
              <w:jc w:val="both"/>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全面提升教师队伍素质。</w:t>
            </w:r>
            <w:r>
              <w:rPr>
                <w:rFonts w:hint="eastAsia" w:ascii="Times New Roman" w:hAnsi="Times New Roman" w:eastAsia="方正仿宋简体" w:cs="仿宋"/>
                <w:color w:val="000000" w:themeColor="text1"/>
                <w:szCs w:val="32"/>
                <w14:textFill>
                  <w14:solidFill>
                    <w14:schemeClr w14:val="tx1"/>
                  </w14:solidFill>
                </w14:textFill>
              </w:rPr>
              <w:t>考核一批校级后备干部，重点培养一批35周岁以下校级后备骨干力量。盘活用好全区事业编制存量，优先支持编制内师资配置需求。建立“区里统一招聘、学校合同管理”的编外合同制教师管理方式。实施“三名”培养工程，建立健全名师、名校长工作室，培养一批专家型校长、教师。</w:t>
            </w:r>
          </w:p>
          <w:p w14:paraId="0D19F148">
            <w:pPr>
              <w:widowControl w:val="0"/>
              <w:snapToGrid w:val="0"/>
              <w:ind w:firstLine="562" w:firstLineChars="200"/>
              <w:jc w:val="both"/>
              <w:rPr>
                <w:rFonts w:ascii="Times New Roman" w:hAnsi="Times New Roman" w:eastAsia="方正仿宋简体" w:cs="仿宋"/>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全面推动新一轮教育布局调整。</w:t>
            </w:r>
            <w:r>
              <w:rPr>
                <w:rFonts w:hint="eastAsia" w:ascii="Times New Roman" w:hAnsi="Times New Roman" w:eastAsia="方正仿宋简体" w:cs="仿宋"/>
                <w:color w:val="000000" w:themeColor="text1"/>
                <w:szCs w:val="32"/>
                <w14:textFill>
                  <w14:solidFill>
                    <w14:schemeClr w14:val="tx1"/>
                  </w14:solidFill>
                </w14:textFill>
              </w:rPr>
              <w:t>根据新区城市发展需要，结合人口分布与容量密度等，合理规划布局教育项目，完成江南花园城配套小学二期工程、龙头山配套小学、常泰中心小学建设、福师大泉州附属中学学生宿舍楼、通政中心小学北校区扩容工程及黄石小学、上村小学、明新中心小学操场改造等8个教育项目建设。结合繁荣片区改造新建一所优质中学。完成茂诚滨江国际酒店及商住项目配套幼儿园、世茂云</w:t>
            </w:r>
            <w:r>
              <w:rPr>
                <w:rFonts w:hint="eastAsia" w:ascii="Times New Roman" w:hAnsi="Times New Roman" w:eastAsia="仿宋" w:cs="仿宋"/>
                <w:color w:val="000000" w:themeColor="text1"/>
                <w:szCs w:val="32"/>
                <w14:textFill>
                  <w14:solidFill>
                    <w14:schemeClr w14:val="tx1"/>
                  </w14:solidFill>
                </w14:textFill>
              </w:rPr>
              <w:t>璟</w:t>
            </w:r>
            <w:r>
              <w:rPr>
                <w:rFonts w:hint="eastAsia" w:ascii="Times New Roman" w:hAnsi="Times New Roman" w:eastAsia="方正仿宋简体" w:cs="仿宋"/>
                <w:color w:val="000000" w:themeColor="text1"/>
                <w:szCs w:val="32"/>
                <w14:textFill>
                  <w14:solidFill>
                    <w14:schemeClr w14:val="tx1"/>
                  </w14:solidFill>
                </w14:textFill>
              </w:rPr>
              <w:t>幼儿园、宝嘉誉峰幼儿园、尚好家园幼儿园、中南滨江铭悦小区幼儿园、金泰花园一期幼儿园、三盛璞悦里幼儿园、源昌商贸城配套幼儿园等8个小区配套幼儿园移交工作，办成公办幼儿园或者普惠性幼儿园。“十四五”期间可新增学位8000个（幼儿园3000个，小学2000个，中学3000个）。</w:t>
            </w:r>
          </w:p>
        </w:tc>
      </w:tr>
    </w:tbl>
    <w:p w14:paraId="149CA289">
      <w:pPr>
        <w:pStyle w:val="3"/>
        <w:keepNext w:val="0"/>
        <w:keepLines w:val="0"/>
        <w:overflowPunct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195" w:name="_Toc74035531"/>
      <w:bookmarkStart w:id="196" w:name="_Toc73976179"/>
      <w:bookmarkStart w:id="197" w:name="_Toc59811695"/>
      <w:r>
        <w:rPr>
          <w:rFonts w:hint="eastAsia" w:ascii="黑体" w:hAnsi="黑体" w:eastAsia="黑体" w:cs="Times New Roman (标题 CS)"/>
          <w:b w:val="0"/>
          <w:color w:val="000000" w:themeColor="text1"/>
          <w14:textFill>
            <w14:solidFill>
              <w14:schemeClr w14:val="tx1"/>
            </w14:solidFill>
          </w14:textFill>
        </w:rPr>
        <w:t>第四节 高标准推动健康鲤城建设</w:t>
      </w:r>
      <w:bookmarkEnd w:id="195"/>
      <w:bookmarkEnd w:id="196"/>
      <w:bookmarkEnd w:id="197"/>
    </w:p>
    <w:p w14:paraId="79DD38E1"/>
    <w:p w14:paraId="0239914F">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加强市民健康制度设计，提升公共卫生和基本医疗服务水平，构建多层次、广覆盖、便捷化的综合健康服务体系，使广大</w:t>
      </w:r>
      <w:r>
        <w:rPr>
          <w:rFonts w:hint="eastAsia" w:ascii="Times New Roman" w:hAnsi="Times New Roman" w:eastAsia="方正仿宋简体" w:cs="仿宋"/>
          <w:color w:val="000000" w:themeColor="text1"/>
          <w:spacing w:val="-8"/>
          <w:sz w:val="32"/>
          <w:szCs w:val="32"/>
          <w14:textFill>
            <w14:solidFill>
              <w14:schemeClr w14:val="tx1"/>
            </w14:solidFill>
          </w14:textFill>
        </w:rPr>
        <w:t>市民成为健康鲤城人。稳步推进各项医疗健康体育项目等落地建设。</w:t>
      </w:r>
    </w:p>
    <w:p w14:paraId="73E9C452">
      <w:pPr>
        <w:widowControl w:val="0"/>
        <w:overflowPunct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提高医疗卫生服务水平。</w:t>
      </w:r>
      <w:r>
        <w:rPr>
          <w:rFonts w:hint="eastAsia" w:ascii="Times New Roman" w:hAnsi="Times New Roman" w:eastAsia="方正仿宋简体" w:cs="仿宋"/>
          <w:color w:val="000000" w:themeColor="text1"/>
          <w:sz w:val="32"/>
          <w:szCs w:val="32"/>
          <w14:textFill>
            <w14:solidFill>
              <w14:schemeClr w14:val="tx1"/>
            </w14:solidFill>
          </w14:textFill>
        </w:rPr>
        <w:t>实施卫生事业发展三年行动，推进江南社区卫生服务中心、区妇幼保健院、中医外科医院提级工程。科学均衡配置医疗卫生资源，加强社区基层医疗卫生机构建设。完善多元化办医格局，鼓励社会资本以多种形式举办医疗机构，推进“名院集团化办医”，更好地满足群众多样化医疗卫生需求。加强基层医疗卫生队伍建设，完善分级医疗、社区首诊、双向转诊模式，建成“城市15分钟医疗服务圈”。加大职业病源头治理力度，加强职业健康服务。进一步做好新冠肺炎、艾滋病等重点传染病和慢性非传染性疾病的防范工作，力争创建国家级慢性病综合防控示范区。坚持发展中医医疗和预防保健服务，注重发挥中医药“治未病”和“简便验廉”的优势，促进中医药事业持续健康发展。完善公共卫生服务，建立健全健康教育体系、传染性疾病预防控制体系、卫生监督体系和医疗救助体系，促进市民身心健康。</w:t>
      </w:r>
    </w:p>
    <w:p w14:paraId="028E9805">
      <w:pPr>
        <w:widowControl w:val="0"/>
        <w:overflowPunct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积极开展全民体育健身。</w:t>
      </w:r>
      <w:r>
        <w:rPr>
          <w:rFonts w:hint="eastAsia" w:ascii="Times New Roman" w:hAnsi="Times New Roman" w:eastAsia="方正仿宋简体" w:cs="仿宋"/>
          <w:color w:val="000000" w:themeColor="text1"/>
          <w:sz w:val="32"/>
          <w:szCs w:val="32"/>
          <w14:textFill>
            <w14:solidFill>
              <w14:schemeClr w14:val="tx1"/>
            </w14:solidFill>
          </w14:textFill>
        </w:rPr>
        <w:t>倡导全民健康生活方式行动，把健康融入到体育健身中。加快城市体育健身场馆设施建设，规划建设鲤城公共体育中心，为群众提供方便经济的健身活动条件。实施青少年足球发展计划，全面促进青少年校园足球活动的发展。大力推动全民健身运动，加强综合健身中心、社区体育健身路径、健身“绿道”、</w:t>
      </w:r>
      <w:r>
        <w:rPr>
          <w:rFonts w:hint="eastAsia" w:ascii="Times New Roman" w:hAnsi="Times New Roman" w:eastAsia="方正仿宋简体" w:cs="仿宋_GB2312"/>
          <w:color w:val="000000" w:themeColor="text1"/>
          <w:sz w:val="32"/>
          <w:szCs w:val="32"/>
          <w14:textFill>
            <w14:solidFill>
              <w14:schemeClr w14:val="tx1"/>
            </w14:solidFill>
          </w14:textFill>
        </w:rPr>
        <w:t>多功能运动场、</w:t>
      </w:r>
      <w:r>
        <w:rPr>
          <w:rFonts w:hint="eastAsia" w:ascii="Times New Roman" w:hAnsi="Times New Roman" w:eastAsia="方正仿宋简体" w:cs="仿宋"/>
          <w:color w:val="000000" w:themeColor="text1"/>
          <w:sz w:val="32"/>
          <w:szCs w:val="32"/>
          <w14:textFill>
            <w14:solidFill>
              <w14:schemeClr w14:val="tx1"/>
            </w14:solidFill>
          </w14:textFill>
        </w:rPr>
        <w:t>自行车道和群众体育活动站（室）建设，满足人民群众的健身需求。加快各类公共体育场馆向社会公众开放，推动机关、事业单位和学校体育资源的社会共享。鼓励社会力量积极发展群众性、社会性体育组织，广泛开展多样化休闲体育活动，积极引进竞技体育人才，推动竞技体育发展。不断推进健康支持性环境建设，提升百姓健康的可及性。</w:t>
      </w:r>
    </w:p>
    <w:p w14:paraId="6474D52F">
      <w:pPr>
        <w:widowControl w:val="0"/>
        <w:overflowPunct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加强食品药品安全监管。</w:t>
      </w:r>
      <w:r>
        <w:rPr>
          <w:rFonts w:hint="eastAsia" w:ascii="Times New Roman" w:hAnsi="Times New Roman" w:eastAsia="方正仿宋简体" w:cs="仿宋"/>
          <w:color w:val="000000" w:themeColor="text1"/>
          <w:sz w:val="32"/>
          <w:szCs w:val="32"/>
          <w14:textFill>
            <w14:solidFill>
              <w14:schemeClr w14:val="tx1"/>
            </w14:solidFill>
          </w14:textFill>
        </w:rPr>
        <w:t>围绕创建国家食品安全城市目标，加强食品药品安全组织管理体系、检验检测体系和社会共治体系建设，健全监管网络，明晰监管事权，推行网格化监管。实施食品药品监管执法能力提升工程、安全追溯工程、风险防控工程和产业转型升级工程，实现从农田到餐桌的全程严格监管。建立科学完备的食品药品安全监测、评估、预警体系，增强食品药品安全突发事件应急救援处置能力。加强食品药品安全监管，深化综合治理，严厉打击食品药品领域违法犯罪行为，切实保障人民群众“舌尖上的安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3"/>
      </w:tblGrid>
      <w:tr w14:paraId="09B8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3" w:type="dxa"/>
            <w:shd w:val="clear" w:color="auto" w:fill="auto"/>
          </w:tcPr>
          <w:p w14:paraId="475D2B13">
            <w:pPr>
              <w:widowControl w:val="0"/>
              <w:snapToGrid w:val="0"/>
              <w:spacing w:line="480" w:lineRule="exact"/>
              <w:jc w:val="center"/>
              <w:rPr>
                <w:rFonts w:ascii="Times New Roman" w:hAnsi="Times New Roman" w:eastAsia="方正仿宋简体" w:cs="仿宋"/>
                <w:b/>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t>专栏25 医疗健康领域重点项目</w:t>
            </w:r>
          </w:p>
        </w:tc>
      </w:tr>
      <w:tr w14:paraId="7709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3" w:type="dxa"/>
            <w:shd w:val="clear" w:color="auto" w:fill="auto"/>
          </w:tcPr>
          <w:p w14:paraId="7213275E">
            <w:pPr>
              <w:widowControl w:val="0"/>
              <w:overflowPunct w:val="0"/>
              <w:spacing w:line="480" w:lineRule="exact"/>
              <w:ind w:right="72" w:rightChars="30" w:firstLine="562" w:firstLineChars="200"/>
              <w:rPr>
                <w:rFonts w:ascii="Times New Roman" w:hAnsi="Times New Roman" w:eastAsia="方正仿宋简体" w:cs="仿宋"/>
                <w:color w:val="000000" w:themeColor="text1"/>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防控救治能力建设工程。</w:t>
            </w:r>
            <w:r>
              <w:rPr>
                <w:rFonts w:hint="eastAsia" w:ascii="Times New Roman" w:hAnsi="Times New Roman" w:eastAsia="方正仿宋简体" w:cs="仿宋"/>
                <w:color w:val="000000" w:themeColor="text1"/>
                <w:szCs w:val="32"/>
                <w14:textFill>
                  <w14:solidFill>
                    <w14:schemeClr w14:val="tx1"/>
                  </w14:solidFill>
                </w14:textFill>
              </w:rPr>
              <w:t>在公共卫生服务中心二期里建设江南医院医技楼、疾控大楼。</w:t>
            </w:r>
          </w:p>
          <w:p w14:paraId="765F4EA3">
            <w:pPr>
              <w:widowControl w:val="0"/>
              <w:overflowPunct w:val="0"/>
              <w:spacing w:line="480" w:lineRule="exact"/>
              <w:ind w:right="72" w:rightChars="30" w:firstLine="562" w:firstLineChars="200"/>
              <w:jc w:val="both"/>
              <w:rPr>
                <w:rFonts w:ascii="Times New Roman" w:hAnsi="Times New Roman" w:eastAsia="方正仿宋简体" w:cs="仿宋"/>
                <w:color w:val="000000" w:themeColor="text1"/>
                <w:sz w:val="28"/>
                <w:szCs w:val="32"/>
                <w14:textFill>
                  <w14:solidFill>
                    <w14:schemeClr w14:val="tx1"/>
                  </w14:solidFill>
                </w14:textFill>
              </w:rPr>
            </w:pPr>
            <w:r>
              <w:rPr>
                <w:rFonts w:hint="eastAsia" w:ascii="Times New Roman" w:hAnsi="Times New Roman" w:eastAsia="方正仿宋简体" w:cs="仿宋"/>
                <w:b/>
                <w:color w:val="000000" w:themeColor="text1"/>
                <w:sz w:val="28"/>
                <w:szCs w:val="32"/>
                <w14:textFill>
                  <w14:solidFill>
                    <w14:schemeClr w14:val="tx1"/>
                  </w14:solidFill>
                </w14:textFill>
              </w:rPr>
              <w:sym w:font="Wingdings" w:char="F0D8"/>
            </w:r>
            <w:r>
              <w:rPr>
                <w:rFonts w:hint="eastAsia" w:ascii="Times New Roman" w:hAnsi="Times New Roman" w:eastAsia="方正仿宋简体" w:cs="仿宋"/>
                <w:b/>
                <w:color w:val="000000" w:themeColor="text1"/>
                <w:szCs w:val="32"/>
                <w14:textFill>
                  <w14:solidFill>
                    <w14:schemeClr w14:val="tx1"/>
                  </w14:solidFill>
                </w14:textFill>
              </w:rPr>
              <w:t>医疗服务能力提升工程。</w:t>
            </w:r>
            <w:r>
              <w:rPr>
                <w:rFonts w:hint="eastAsia" w:ascii="Times New Roman" w:hAnsi="Times New Roman" w:eastAsia="方正仿宋简体" w:cs="仿宋"/>
                <w:color w:val="000000" w:themeColor="text1"/>
                <w:szCs w:val="32"/>
                <w14:textFill>
                  <w14:solidFill>
                    <w14:schemeClr w14:val="tx1"/>
                  </w14:solidFill>
                </w14:textFill>
              </w:rPr>
              <w:t>江南医院创二级综合医院、建设2家社区医院、推进泉州妇产医院二期、万祥医院建设，力促华大附属医院鲤城分院建设。</w:t>
            </w:r>
          </w:p>
        </w:tc>
      </w:tr>
    </w:tbl>
    <w:p w14:paraId="54B56D4A">
      <w:pPr>
        <w:pStyle w:val="3"/>
        <w:keepNext w:val="0"/>
        <w:keepLines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198" w:name="_Toc73976180"/>
      <w:bookmarkStart w:id="199" w:name="_Toc59811696"/>
    </w:p>
    <w:p w14:paraId="63729476">
      <w:pPr>
        <w:pStyle w:val="3"/>
        <w:keepNext w:val="0"/>
        <w:keepLines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200" w:name="_Toc74035532"/>
      <w:r>
        <w:rPr>
          <w:rFonts w:hint="eastAsia" w:ascii="黑体" w:hAnsi="黑体" w:eastAsia="黑体" w:cs="Times New Roman (标题 CS)"/>
          <w:b w:val="0"/>
          <w:color w:val="000000" w:themeColor="text1"/>
          <w14:textFill>
            <w14:solidFill>
              <w14:schemeClr w14:val="tx1"/>
            </w14:solidFill>
          </w14:textFill>
        </w:rPr>
        <w:t>第五节 统筹与协调其他社会事业</w:t>
      </w:r>
      <w:bookmarkEnd w:id="198"/>
      <w:bookmarkEnd w:id="199"/>
      <w:bookmarkEnd w:id="200"/>
    </w:p>
    <w:p w14:paraId="5B35FF4F"/>
    <w:p w14:paraId="0C0674EB">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加强人口和计划生育管理。</w:t>
      </w:r>
      <w:r>
        <w:rPr>
          <w:rFonts w:hint="eastAsia" w:ascii="Times New Roman" w:hAnsi="Times New Roman" w:eastAsia="方正仿宋简体" w:cs="仿宋"/>
          <w:color w:val="000000" w:themeColor="text1"/>
          <w:sz w:val="32"/>
          <w:szCs w:val="32"/>
          <w14:textFill>
            <w14:solidFill>
              <w14:schemeClr w14:val="tx1"/>
            </w14:solidFill>
          </w14:textFill>
        </w:rPr>
        <w:t>全面落实一对夫妇可生育两个孩子政策。普及优生优育知识，实行免费婚检，降低孕检费用，完善出生缺陷干预工作机制，实现出生缺陷三级干预全覆盖，提高出生人口素质。严厉打击非法鉴定胎儿性别和非法选择性别人工终止妊娠行为。加大对计生特殊家庭的扶助关怀。创新人口服务管理机制，加强流动人口计划生育服务和管理。</w:t>
      </w:r>
    </w:p>
    <w:p w14:paraId="1E328885">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构建养老服务体系。</w:t>
      </w:r>
      <w:r>
        <w:rPr>
          <w:rFonts w:hint="eastAsia" w:ascii="Times New Roman" w:hAnsi="Times New Roman" w:eastAsia="方正仿宋简体" w:cs="仿宋"/>
          <w:color w:val="000000" w:themeColor="text1"/>
          <w:sz w:val="32"/>
          <w:szCs w:val="32"/>
          <w14:textFill>
            <w14:solidFill>
              <w14:schemeClr w14:val="tx1"/>
            </w14:solidFill>
          </w14:textFill>
        </w:rPr>
        <w:t>加快补齐养老事业发展短板，积极开展应对人口老龄化行动，推动医疗卫生和养老服务相结合，探索建立长期护理保险制度，完善以居家养老为基础、社区养老为依托、机构养老为补充、社会化养老为主体的现代养老服务体系。全面放开养老服务市场，鼓励通过政策支持、购买服务、股权合作等方式支持各类社会主体增加养老服务和产品供给，探索符合我区实际的托老所、日间照料室等建设模式，有效聚合功能区域内的服务资源。</w:t>
      </w:r>
    </w:p>
    <w:p w14:paraId="05072D89">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持续推进老年教育。</w:t>
      </w:r>
      <w:r>
        <w:rPr>
          <w:rFonts w:hint="eastAsia" w:ascii="Times New Roman" w:hAnsi="Times New Roman" w:eastAsia="方正仿宋简体" w:cs="仿宋"/>
          <w:color w:val="000000" w:themeColor="text1"/>
          <w:sz w:val="32"/>
          <w:szCs w:val="32"/>
          <w14:textFill>
            <w14:solidFill>
              <w14:schemeClr w14:val="tx1"/>
            </w14:solidFill>
          </w14:textFill>
        </w:rPr>
        <w:t>扩大老年教育资源供给，推进鲤城老年大学新校舍建设，建成省市级达标老年大学。完善基层老年教育服务体系，整合现有文化馆、社区教育机构、文化活动室等资源开展老年教育活动。加大对孤寡老人、困境儿童等弱势群体的社会保障力度。关爱关注精神病患者，提升残疾人服务保障水平。</w:t>
      </w:r>
    </w:p>
    <w:p w14:paraId="21B16847">
      <w:pPr>
        <w:widowControl w:val="0"/>
        <w:spacing w:line="590" w:lineRule="exact"/>
        <w:ind w:firstLine="643"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b/>
          <w:color w:val="000000" w:themeColor="text1"/>
          <w:sz w:val="32"/>
          <w:szCs w:val="32"/>
          <w14:textFill>
            <w14:solidFill>
              <w14:schemeClr w14:val="tx1"/>
            </w14:solidFill>
          </w14:textFill>
        </w:rPr>
        <w:t>提升公民科学素质水平。</w:t>
      </w:r>
      <w:r>
        <w:rPr>
          <w:rFonts w:hint="eastAsia" w:ascii="Times New Roman" w:hAnsi="Times New Roman" w:eastAsia="方正仿宋简体" w:cs="仿宋"/>
          <w:color w:val="000000" w:themeColor="text1"/>
          <w:sz w:val="32"/>
          <w:szCs w:val="32"/>
          <w14:textFill>
            <w14:solidFill>
              <w14:schemeClr w14:val="tx1"/>
            </w14:solidFill>
          </w14:textFill>
        </w:rPr>
        <w:t>加强公民科学素质建设，开展青少年课外科学素质提升行动，作为全日制教育的有益补充。组织广泛的科普活动，深化全民科学素质行动和基层科普行动计划。夯实科普基础设施建设，丰富科普知识传播渠道，形成广泛社会动员机制，推动全民科学素质水平进一步提升。</w:t>
      </w:r>
    </w:p>
    <w:p w14:paraId="1CE1898D">
      <w:pPr>
        <w:widowControl w:val="0"/>
        <w:spacing w:line="590" w:lineRule="exact"/>
        <w:ind w:firstLine="643" w:firstLineChars="200"/>
        <w:jc w:val="both"/>
        <w:rPr>
          <w:rFonts w:ascii="Times New Roman" w:hAnsi="Times New Roman" w:eastAsia="仿宋" w:cs="仿宋"/>
          <w:color w:val="000000" w:themeColor="text1"/>
          <w:sz w:val="32"/>
          <w:szCs w:val="32"/>
          <w14:textFill>
            <w14:solidFill>
              <w14:schemeClr w14:val="tx1"/>
            </w14:solidFill>
          </w14:textFill>
        </w:rPr>
        <w:sectPr>
          <w:pgSz w:w="11900" w:h="16840"/>
          <w:pgMar w:top="1928" w:right="1474" w:bottom="1701" w:left="1588" w:header="851" w:footer="992" w:gutter="0"/>
          <w:cols w:space="425" w:num="1"/>
          <w:docGrid w:type="lines" w:linePitch="423" w:charSpace="0"/>
        </w:sectPr>
      </w:pPr>
      <w:r>
        <w:rPr>
          <w:rFonts w:hint="eastAsia" w:ascii="Times New Roman" w:hAnsi="Times New Roman" w:eastAsia="方正仿宋简体" w:cs="仿宋"/>
          <w:b/>
          <w:color w:val="000000" w:themeColor="text1"/>
          <w:sz w:val="32"/>
          <w:szCs w:val="32"/>
          <w14:textFill>
            <w14:solidFill>
              <w14:schemeClr w14:val="tx1"/>
            </w14:solidFill>
          </w14:textFill>
        </w:rPr>
        <w:t>促进妇女儿童全面发展。</w:t>
      </w:r>
      <w:r>
        <w:rPr>
          <w:rFonts w:ascii="Times New Roman" w:hAnsi="Times New Roman" w:eastAsia="方正仿宋简体" w:cs="仿宋"/>
          <w:color w:val="000000" w:themeColor="text1"/>
          <w:sz w:val="32"/>
          <w:szCs w:val="32"/>
          <w14:textFill>
            <w14:solidFill>
              <w14:schemeClr w14:val="tx1"/>
            </w14:solidFill>
          </w14:textFill>
        </w:rPr>
        <w:t>坚持男女平等基本国策和儿童优先原则，实施妇女儿童发展纲要，切实加强妇女和儿童等社会群体权益保护。完善提升妇女儿童活动中心建设及服务功能，完善并落实促进妇女创业就业政策，依法保障妇女平等获得就学、就业、社会保障、婚姻财产和参与公共事务等方面的权益。扩大妇女乳腺癌宫颈癌检查覆盖范围，逐步普及宫颈癌疫苗。强化对未成年人生存权、发展权、受保护权</w:t>
      </w:r>
      <w:r>
        <w:rPr>
          <w:rFonts w:hint="eastAsia" w:ascii="Times New Roman" w:hAnsi="Times New Roman" w:eastAsia="方正仿宋简体" w:cs="仿宋"/>
          <w:color w:val="000000" w:themeColor="text1"/>
          <w:sz w:val="32"/>
          <w:szCs w:val="32"/>
          <w14:textFill>
            <w14:solidFill>
              <w14:schemeClr w14:val="tx1"/>
            </w14:solidFill>
          </w14:textFill>
        </w:rPr>
        <w:t>、</w:t>
      </w:r>
      <w:r>
        <w:rPr>
          <w:rFonts w:ascii="Times New Roman" w:hAnsi="Times New Roman" w:eastAsia="方正仿宋简体" w:cs="仿宋"/>
          <w:color w:val="000000" w:themeColor="text1"/>
          <w:sz w:val="32"/>
          <w:szCs w:val="32"/>
          <w14:textFill>
            <w14:solidFill>
              <w14:schemeClr w14:val="tx1"/>
            </w14:solidFill>
          </w14:textFill>
        </w:rPr>
        <w:t>参与权的依法保障和社会责任，加强未成年人心理健康引导，预防和减少未成年人遭受性侵、暴力等伤害，综合防控未成年人网络沉迷、青少年近视。大力发展3岁以下婴幼儿照护服务，深入实施母婴安全行动，健全困境儿童关爱服务体系。实施</w:t>
      </w:r>
      <w:r>
        <w:rPr>
          <w:rFonts w:hint="eastAsia" w:ascii="Times New Roman" w:hAnsi="Times New Roman" w:eastAsia="方正仿宋简体" w:cs="仿宋"/>
          <w:color w:val="000000" w:themeColor="text1"/>
          <w:sz w:val="32"/>
          <w:szCs w:val="32"/>
          <w14:textFill>
            <w14:solidFill>
              <w14:schemeClr w14:val="tx1"/>
            </w14:solidFill>
          </w14:textFill>
        </w:rPr>
        <w:t>“</w:t>
      </w:r>
      <w:r>
        <w:rPr>
          <w:rFonts w:ascii="Times New Roman" w:hAnsi="Times New Roman" w:eastAsia="方正仿宋简体" w:cs="仿宋"/>
          <w:color w:val="000000" w:themeColor="text1"/>
          <w:sz w:val="32"/>
          <w:szCs w:val="32"/>
          <w14:textFill>
            <w14:solidFill>
              <w14:schemeClr w14:val="tx1"/>
            </w14:solidFill>
          </w14:textFill>
        </w:rPr>
        <w:t>家家幸福安康工程</w:t>
      </w:r>
      <w:r>
        <w:rPr>
          <w:rFonts w:hint="eastAsia" w:ascii="Times New Roman" w:hAnsi="Times New Roman" w:eastAsia="方正仿宋简体" w:cs="仿宋"/>
          <w:color w:val="000000" w:themeColor="text1"/>
          <w:sz w:val="32"/>
          <w:szCs w:val="32"/>
          <w14:textFill>
            <w14:solidFill>
              <w14:schemeClr w14:val="tx1"/>
            </w14:solidFill>
          </w14:textFill>
        </w:rPr>
        <w:t>”</w:t>
      </w:r>
      <w:r>
        <w:rPr>
          <w:rFonts w:ascii="Times New Roman" w:hAnsi="Times New Roman" w:eastAsia="方正仿宋简体" w:cs="仿宋"/>
          <w:color w:val="000000" w:themeColor="text1"/>
          <w:sz w:val="32"/>
          <w:szCs w:val="32"/>
          <w14:textFill>
            <w14:solidFill>
              <w14:schemeClr w14:val="tx1"/>
            </w14:solidFill>
          </w14:textFill>
        </w:rPr>
        <w:t>，发挥家庭家教家风在基层社会治理中的重要作用，加强反家庭暴力经常性工作，统筹和创新推进家庭工作。贯彻落实《福建省家庭教育促进条例》，依法强化父母在家庭教育中的主体责任，强化政府在家庭教育工作中的推动作用，发展家庭教育公共服务</w:t>
      </w:r>
      <w:r>
        <w:rPr>
          <w:rFonts w:hint="eastAsia" w:ascii="Times New Roman" w:hAnsi="Times New Roman" w:eastAsia="方正仿宋简体" w:cs="仿宋"/>
          <w:color w:val="000000" w:themeColor="text1"/>
          <w:sz w:val="32"/>
          <w:szCs w:val="32"/>
          <w14:textFill>
            <w14:solidFill>
              <w14:schemeClr w14:val="tx1"/>
            </w14:solidFill>
          </w14:textFill>
        </w:rPr>
        <w:t>。</w:t>
      </w:r>
    </w:p>
    <w:p w14:paraId="57C2BAA4">
      <w:pPr>
        <w:pStyle w:val="2"/>
        <w:overflowPunct w:val="0"/>
        <w:spacing w:after="0" w:line="590" w:lineRule="exact"/>
        <w:ind w:firstLine="0" w:firstLineChars="0"/>
        <w:jc w:val="center"/>
        <w:rPr>
          <w:rFonts w:ascii="Times New Roman" w:hAnsi="Times New Roman"/>
          <w:b w:val="0"/>
          <w:bCs/>
          <w:color w:val="000000" w:themeColor="text1"/>
          <w:sz w:val="36"/>
          <w14:textFill>
            <w14:solidFill>
              <w14:schemeClr w14:val="tx1"/>
            </w14:solidFill>
          </w14:textFill>
        </w:rPr>
      </w:pPr>
      <w:bookmarkStart w:id="201" w:name="_Toc47211620"/>
      <w:bookmarkStart w:id="202" w:name="_Toc47271695"/>
      <w:bookmarkStart w:id="203" w:name="_Toc74035533"/>
      <w:bookmarkStart w:id="204" w:name="_Toc59811697"/>
      <w:bookmarkStart w:id="205" w:name="_Toc73976181"/>
      <w:r>
        <w:rPr>
          <w:rFonts w:hint="eastAsia" w:ascii="Times New Roman" w:hAnsi="Times New Roman"/>
          <w:b w:val="0"/>
          <w:bCs/>
          <w:color w:val="000000" w:themeColor="text1"/>
          <w:sz w:val="36"/>
          <w14:textFill>
            <w14:solidFill>
              <w14:schemeClr w14:val="tx1"/>
            </w14:solidFill>
          </w14:textFill>
        </w:rPr>
        <w:t>第十二章 健全机制，全面保障规划有效实施</w:t>
      </w:r>
      <w:bookmarkEnd w:id="201"/>
      <w:bookmarkEnd w:id="202"/>
      <w:bookmarkEnd w:id="203"/>
      <w:bookmarkEnd w:id="204"/>
      <w:bookmarkEnd w:id="205"/>
    </w:p>
    <w:p w14:paraId="32191511"/>
    <w:p w14:paraId="3F949FDB">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r>
        <w:rPr>
          <w:rFonts w:hint="eastAsia" w:ascii="Times New Roman" w:hAnsi="Times New Roman" w:eastAsia="方正仿宋简体" w:cs="仿宋"/>
          <w:color w:val="000000" w:themeColor="text1"/>
          <w:sz w:val="32"/>
          <w:szCs w:val="32"/>
          <w14:textFill>
            <w14:solidFill>
              <w14:schemeClr w14:val="tx1"/>
            </w14:solidFill>
          </w14:textFill>
        </w:rPr>
        <w:t>本规划经过区人民代表大会审议批准，是未来五年鲤城经济社会发展的宏伟蓝图，具有法律效力。要举全区之力，确保完成规划发展目标和任务。</w:t>
      </w:r>
    </w:p>
    <w:p w14:paraId="322D0968">
      <w:pPr>
        <w:widowControl w:val="0"/>
        <w:overflowPunct w:val="0"/>
        <w:spacing w:line="590" w:lineRule="exact"/>
        <w:ind w:firstLine="640" w:firstLineChars="200"/>
        <w:jc w:val="both"/>
        <w:rPr>
          <w:rFonts w:ascii="Times New Roman" w:hAnsi="Times New Roman" w:eastAsia="方正仿宋简体" w:cs="仿宋"/>
          <w:color w:val="000000" w:themeColor="text1"/>
          <w:sz w:val="32"/>
          <w:szCs w:val="32"/>
          <w14:textFill>
            <w14:solidFill>
              <w14:schemeClr w14:val="tx1"/>
            </w14:solidFill>
          </w14:textFill>
        </w:rPr>
      </w:pPr>
    </w:p>
    <w:p w14:paraId="3668437E">
      <w:pPr>
        <w:pStyle w:val="3"/>
        <w:keepNext w:val="0"/>
        <w:keepLines w:val="0"/>
        <w:overflowPunct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206" w:name="_Toc59811698"/>
      <w:bookmarkStart w:id="207" w:name="_Toc74035534"/>
      <w:bookmarkStart w:id="208" w:name="_Toc73976182"/>
      <w:bookmarkStart w:id="209" w:name="_Toc47211621"/>
      <w:bookmarkStart w:id="210" w:name="_Toc47271696"/>
      <w:bookmarkStart w:id="211" w:name="_Toc443386553"/>
      <w:bookmarkStart w:id="212" w:name="_Toc437273123"/>
      <w:bookmarkStart w:id="213" w:name="_Toc437166500"/>
      <w:r>
        <w:rPr>
          <w:rFonts w:hint="eastAsia" w:ascii="黑体" w:hAnsi="黑体" w:eastAsia="黑体" w:cs="Times New Roman (标题 CS)"/>
          <w:b w:val="0"/>
          <w:color w:val="000000" w:themeColor="text1"/>
          <w14:textFill>
            <w14:solidFill>
              <w14:schemeClr w14:val="tx1"/>
            </w14:solidFill>
          </w14:textFill>
        </w:rPr>
        <w:t>第一节 健全规划管理体系</w:t>
      </w:r>
      <w:bookmarkEnd w:id="206"/>
      <w:bookmarkEnd w:id="207"/>
      <w:bookmarkEnd w:id="208"/>
    </w:p>
    <w:p w14:paraId="4F841F64"/>
    <w:bookmarkEnd w:id="209"/>
    <w:bookmarkEnd w:id="210"/>
    <w:bookmarkEnd w:id="211"/>
    <w:p w14:paraId="61FD1086">
      <w:pPr>
        <w:widowControl w:val="0"/>
        <w:overflowPunct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坚持问题导向、目标导向、结果导向，加强顶层设计，站在全局的高度，运用系统思维理论，加强规划衔接协调。统筹全区相关部门制定专项规划，创新规划编制，加强统筹管理和衔接协调，形成科学完整的规划体系。</w:t>
      </w:r>
    </w:p>
    <w:p w14:paraId="4F25B295">
      <w:pPr>
        <w:widowControl w:val="0"/>
        <w:overflowPunct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本区各级各类规划的编制和实施要以本规划为依据，各级各部门要细化落实本规划提出的目标任务，编制实施总体规划、专项规划、年度计划等。</w:t>
      </w:r>
    </w:p>
    <w:p w14:paraId="3089EDD5">
      <w:pPr>
        <w:widowControl w:val="0"/>
        <w:overflowPunct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强化规划的空间管控。以泉州市“多规合一”统一的空间规划体系为依托，将未来五年空间布局、建设项目落在统一的空间</w:t>
      </w:r>
      <w:r>
        <w:rPr>
          <w:rFonts w:hint="eastAsia" w:ascii="Times New Roman" w:hAnsi="Times New Roman" w:eastAsia="方正仿宋简体"/>
          <w:color w:val="000000" w:themeColor="text1"/>
          <w:spacing w:val="-6"/>
          <w:sz w:val="32"/>
          <w:szCs w:val="32"/>
          <w14:textFill>
            <w14:solidFill>
              <w14:schemeClr w14:val="tx1"/>
            </w14:solidFill>
          </w14:textFill>
        </w:rPr>
        <w:t>布局图上，构成全区未来五年发展的蓝图，实现“一张蓝图绘到底”。</w:t>
      </w:r>
    </w:p>
    <w:p w14:paraId="15C3FD3A">
      <w:pPr>
        <w:widowControl w:val="0"/>
        <w:overflowPunct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p>
    <w:p w14:paraId="4538B3EC">
      <w:pPr>
        <w:pStyle w:val="3"/>
        <w:keepNext w:val="0"/>
        <w:keepLines w:val="0"/>
        <w:overflowPunct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214" w:name="_Toc443386555"/>
      <w:bookmarkStart w:id="215" w:name="_Toc47271698"/>
      <w:bookmarkStart w:id="216" w:name="_Toc47211623"/>
      <w:bookmarkStart w:id="217" w:name="_Toc59811699"/>
      <w:bookmarkStart w:id="218" w:name="_Toc74035535"/>
      <w:bookmarkStart w:id="219" w:name="_Toc73976183"/>
      <w:r>
        <w:rPr>
          <w:rFonts w:hint="eastAsia" w:ascii="黑体" w:hAnsi="黑体" w:eastAsia="黑体" w:cs="Times New Roman (标题 CS)"/>
          <w:b w:val="0"/>
          <w:color w:val="000000" w:themeColor="text1"/>
          <w14:textFill>
            <w14:solidFill>
              <w14:schemeClr w14:val="tx1"/>
            </w14:solidFill>
          </w14:textFill>
        </w:rPr>
        <w:t>第二</w:t>
      </w:r>
      <w:bookmarkEnd w:id="214"/>
      <w:bookmarkEnd w:id="215"/>
      <w:bookmarkEnd w:id="216"/>
      <w:r>
        <w:rPr>
          <w:rFonts w:hint="eastAsia" w:ascii="黑体" w:hAnsi="黑体" w:eastAsia="黑体" w:cs="Times New Roman (标题 CS)"/>
          <w:b w:val="0"/>
          <w:color w:val="000000" w:themeColor="text1"/>
          <w14:textFill>
            <w14:solidFill>
              <w14:schemeClr w14:val="tx1"/>
            </w14:solidFill>
          </w14:textFill>
        </w:rPr>
        <w:t>节 强化重大项目支撑</w:t>
      </w:r>
      <w:bookmarkEnd w:id="217"/>
      <w:bookmarkEnd w:id="218"/>
      <w:bookmarkEnd w:id="219"/>
    </w:p>
    <w:p w14:paraId="77F1E6B9"/>
    <w:bookmarkEnd w:id="212"/>
    <w:bookmarkEnd w:id="213"/>
    <w:p w14:paraId="5D0A2854">
      <w:pPr>
        <w:widowControl w:val="0"/>
        <w:overflowPunct w:val="0"/>
        <w:spacing w:line="57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加强项目统筹。</w:t>
      </w:r>
      <w:r>
        <w:rPr>
          <w:rFonts w:hint="eastAsia" w:ascii="Times New Roman" w:hAnsi="Times New Roman" w:eastAsia="方正仿宋简体"/>
          <w:color w:val="000000" w:themeColor="text1"/>
          <w:sz w:val="32"/>
          <w:szCs w:val="32"/>
          <w14:textFill>
            <w14:solidFill>
              <w14:schemeClr w14:val="tx1"/>
            </w14:solidFill>
          </w14:textFill>
        </w:rPr>
        <w:t>要以“十四五”规划确定的目标为指引，提升项目策划生成和储备水平，积极引导市场投资，形成“谋划一批、签约一批、开工一批、在建一批、投产一批”的滚动发展态势。所有建设项目纳入全区统一项目管理平台，按照全生命周期进行管理。</w:t>
      </w:r>
    </w:p>
    <w:p w14:paraId="08F9A09D">
      <w:pPr>
        <w:widowControl w:val="0"/>
        <w:overflowPunct w:val="0"/>
        <w:spacing w:line="57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统筹政策配套。</w:t>
      </w:r>
      <w:r>
        <w:rPr>
          <w:rFonts w:hint="eastAsia" w:ascii="Times New Roman" w:hAnsi="Times New Roman" w:eastAsia="方正仿宋简体"/>
          <w:color w:val="000000" w:themeColor="text1"/>
          <w:sz w:val="32"/>
          <w:szCs w:val="32"/>
          <w14:textFill>
            <w14:solidFill>
              <w14:schemeClr w14:val="tx1"/>
            </w14:solidFill>
          </w14:textFill>
        </w:rPr>
        <w:t>用好用足国家在政策、项目、资金等方面的支持，挖掘政策潜力，释放政策效应。围绕规划提出的目标和战略任务，各级各部门要加大政策研究和储备，加强部门间政策制定和实施的协调配合，坚持短期调控政策和长期发展战略相结合，打好产业、财税、金融、土地、环保、投资等相关政策组合拳，注重定向施策、精准施策。</w:t>
      </w:r>
    </w:p>
    <w:p w14:paraId="24E46256">
      <w:pPr>
        <w:widowControl w:val="0"/>
        <w:overflowPunct w:val="0"/>
        <w:spacing w:line="57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增强财力保障。</w:t>
      </w:r>
      <w:r>
        <w:rPr>
          <w:rFonts w:hint="eastAsia" w:ascii="Times New Roman" w:hAnsi="Times New Roman" w:eastAsia="方正仿宋简体"/>
          <w:color w:val="000000" w:themeColor="text1"/>
          <w:sz w:val="32"/>
          <w:szCs w:val="32"/>
          <w14:textFill>
            <w14:solidFill>
              <w14:schemeClr w14:val="tx1"/>
            </w14:solidFill>
          </w14:textFill>
        </w:rPr>
        <w:t>财政部门要加强财政预算与规划实施的衔接协调，在明晰财政支出责任的基础上，强化公共财政对规划实施的保障作用。中期财政规划要根据本规划提出的目标任务和财力可能，合理安排支出规模和结构，滚动调整时要充分考虑本规划实施需要。年度预算安排要优先考虑本规划实施的年度需要。</w:t>
      </w:r>
    </w:p>
    <w:p w14:paraId="2A49D13E">
      <w:pPr>
        <w:widowControl w:val="0"/>
        <w:overflowPunct w:val="0"/>
        <w:spacing w:line="57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强化资源保障。</w:t>
      </w:r>
      <w:r>
        <w:rPr>
          <w:rFonts w:hint="eastAsia" w:ascii="Times New Roman" w:hAnsi="Times New Roman" w:eastAsia="方正仿宋简体"/>
          <w:color w:val="000000" w:themeColor="text1"/>
          <w:sz w:val="32"/>
          <w:szCs w:val="32"/>
          <w14:textFill>
            <w14:solidFill>
              <w14:schemeClr w14:val="tx1"/>
            </w14:solidFill>
          </w14:textFill>
        </w:rPr>
        <w:t>要用节约集约的思维全力保障好规划实施项目在用地、用林、环境容量以及用水、用电、用气等方面的指标需求，注重提高要素保障效率，提升要素利用效益。要用创新的思路和改革的办法破解融资难题，全面推广政府和社会资本合作模式，拓宽民间投资渠道。</w:t>
      </w:r>
    </w:p>
    <w:p w14:paraId="3185D60B">
      <w:pPr>
        <w:widowControl w:val="0"/>
        <w:overflowPunct w:val="0"/>
        <w:spacing w:line="57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p>
    <w:p w14:paraId="01D4A876">
      <w:pPr>
        <w:pStyle w:val="3"/>
        <w:keepNext w:val="0"/>
        <w:keepLines w:val="0"/>
        <w:overflowPunct w:val="0"/>
        <w:spacing w:before="0" w:after="0" w:line="570" w:lineRule="exact"/>
        <w:jc w:val="center"/>
        <w:rPr>
          <w:rFonts w:ascii="黑体" w:hAnsi="黑体" w:eastAsia="黑体" w:cs="Times New Roman (标题 CS)"/>
          <w:b w:val="0"/>
          <w:color w:val="000000" w:themeColor="text1"/>
          <w14:textFill>
            <w14:solidFill>
              <w14:schemeClr w14:val="tx1"/>
            </w14:solidFill>
          </w14:textFill>
        </w:rPr>
      </w:pPr>
      <w:bookmarkStart w:id="220" w:name="_Toc47211624"/>
      <w:bookmarkStart w:id="221" w:name="_Toc47271699"/>
      <w:bookmarkStart w:id="222" w:name="_Toc443386556"/>
      <w:bookmarkStart w:id="223" w:name="_Toc59811700"/>
      <w:bookmarkStart w:id="224" w:name="_Toc74035536"/>
      <w:bookmarkStart w:id="225" w:name="_Toc73976184"/>
      <w:r>
        <w:rPr>
          <w:rFonts w:hint="eastAsia" w:ascii="黑体" w:hAnsi="黑体" w:eastAsia="黑体" w:cs="Times New Roman (标题 CS)"/>
          <w:b w:val="0"/>
          <w:color w:val="000000" w:themeColor="text1"/>
          <w14:textFill>
            <w14:solidFill>
              <w14:schemeClr w14:val="tx1"/>
            </w14:solidFill>
          </w14:textFill>
        </w:rPr>
        <w:t>第三</w:t>
      </w:r>
      <w:bookmarkEnd w:id="220"/>
      <w:bookmarkEnd w:id="221"/>
      <w:bookmarkEnd w:id="222"/>
      <w:r>
        <w:rPr>
          <w:rFonts w:hint="eastAsia" w:ascii="黑体" w:hAnsi="黑体" w:eastAsia="黑体" w:cs="Times New Roman (标题 CS)"/>
          <w:b w:val="0"/>
          <w:color w:val="000000" w:themeColor="text1"/>
          <w14:textFill>
            <w14:solidFill>
              <w14:schemeClr w14:val="tx1"/>
            </w14:solidFill>
          </w14:textFill>
        </w:rPr>
        <w:t>节 加强规划监督考评</w:t>
      </w:r>
      <w:bookmarkEnd w:id="223"/>
      <w:bookmarkEnd w:id="224"/>
      <w:bookmarkEnd w:id="225"/>
    </w:p>
    <w:p w14:paraId="61B88AFD">
      <w:pPr>
        <w:spacing w:line="570" w:lineRule="exact"/>
      </w:pPr>
    </w:p>
    <w:p w14:paraId="0D6EE289">
      <w:pPr>
        <w:widowControl w:val="0"/>
        <w:overflowPunct w:val="0"/>
        <w:spacing w:line="57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完善考核评价。</w:t>
      </w:r>
      <w:r>
        <w:rPr>
          <w:rFonts w:hint="eastAsia" w:ascii="Times New Roman" w:hAnsi="Times New Roman" w:eastAsia="方正仿宋简体"/>
          <w:color w:val="000000" w:themeColor="text1"/>
          <w:sz w:val="32"/>
          <w:szCs w:val="32"/>
          <w14:textFill>
            <w14:solidFill>
              <w14:schemeClr w14:val="tx1"/>
            </w14:solidFill>
          </w14:textFill>
        </w:rPr>
        <w:t>完善规划实施考核评价机制，加强规划实施的监测评估，推进规划实施的信息公开，营造规划实施的良好舆论氛围。规划确定的约束性指标要分解落实到各区各部门，落实责任、明确进度，全力确保规划目标实现。</w:t>
      </w:r>
    </w:p>
    <w:p w14:paraId="6879E83B">
      <w:pPr>
        <w:widowControl w:val="0"/>
        <w:overflowPunct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强化监测评估。</w:t>
      </w:r>
      <w:r>
        <w:rPr>
          <w:rFonts w:hint="eastAsia" w:ascii="Times New Roman" w:hAnsi="Times New Roman" w:eastAsia="方正仿宋简体"/>
          <w:color w:val="000000" w:themeColor="text1"/>
          <w:sz w:val="32"/>
          <w:szCs w:val="32"/>
          <w14:textFill>
            <w14:solidFill>
              <w14:schemeClr w14:val="tx1"/>
            </w14:solidFill>
          </w14:textFill>
        </w:rPr>
        <w:t>加强统计工作，顺应发展态势，建立健全统计监测指标体系和统计评价指标体系，创新统计方法，实行动态监测，强化对规划实施情况跟踪分析，开展规划中期评估和专项监测，推动本规划顺利实施。</w:t>
      </w:r>
    </w:p>
    <w:p w14:paraId="7FE014A9">
      <w:pPr>
        <w:widowControl w:val="0"/>
        <w:overflowPunct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推动发展共建。</w:t>
      </w:r>
      <w:r>
        <w:rPr>
          <w:rFonts w:hint="eastAsia" w:ascii="Times New Roman" w:hAnsi="Times New Roman" w:eastAsia="方正仿宋简体"/>
          <w:color w:val="000000" w:themeColor="text1"/>
          <w:sz w:val="32"/>
          <w:szCs w:val="32"/>
          <w14:textFill>
            <w14:solidFill>
              <w14:schemeClr w14:val="tx1"/>
            </w14:solidFill>
          </w14:textFill>
        </w:rPr>
        <w:t>规划提出的预期性指标和产业发展、结构调整等任务，主要依靠市场主体的自主行为实现。增强规划工作透明度和公众参与度，以规划协调服务为纽带，启发群众参与；以宣传培育精神为根本，提升群众参与，使规划确定的目标任务深入人心。</w:t>
      </w:r>
    </w:p>
    <w:p w14:paraId="21F84214">
      <w:pPr>
        <w:widowControl w:val="0"/>
        <w:overflowPunct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落实建设共管。</w:t>
      </w:r>
      <w:r>
        <w:rPr>
          <w:rFonts w:hint="eastAsia" w:ascii="Times New Roman" w:hAnsi="Times New Roman" w:eastAsia="方正仿宋简体"/>
          <w:color w:val="000000" w:themeColor="text1"/>
          <w:sz w:val="32"/>
          <w:szCs w:val="32"/>
          <w14:textFill>
            <w14:solidFill>
              <w14:schemeClr w14:val="tx1"/>
            </w14:solidFill>
          </w14:textFill>
        </w:rPr>
        <w:t>充分发挥社会各界参与规划实施的主动性和创造性，最大限度地汇聚人民群众的力量和智慧，在全社会形成关心规划、自觉参与规划实施的浓厚氛围。</w:t>
      </w:r>
    </w:p>
    <w:p w14:paraId="740BC610">
      <w:pPr>
        <w:widowControl w:val="0"/>
        <w:overflowPunct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开展效果共评。</w:t>
      </w:r>
      <w:r>
        <w:rPr>
          <w:rFonts w:hint="eastAsia" w:ascii="Times New Roman" w:hAnsi="Times New Roman" w:eastAsia="方正仿宋简体"/>
          <w:color w:val="000000" w:themeColor="text1"/>
          <w:sz w:val="32"/>
          <w:szCs w:val="32"/>
          <w14:textFill>
            <w14:solidFill>
              <w14:schemeClr w14:val="tx1"/>
            </w14:solidFill>
          </w14:textFill>
        </w:rPr>
        <w:t>健全规划重大事项实施情况公开机制、社会监督机制和公众评议机制，定期向社会公众发布实施信息，自觉接受社会监督，形成发展共建、建设共管、效果共评的生动局面。</w:t>
      </w:r>
    </w:p>
    <w:p w14:paraId="6E10DBB2">
      <w:pPr>
        <w:widowControl w:val="0"/>
        <w:overflowPunct w:val="0"/>
        <w:spacing w:line="590" w:lineRule="exact"/>
        <w:ind w:firstLine="640" w:firstLineChars="200"/>
        <w:jc w:val="both"/>
        <w:rPr>
          <w:rFonts w:ascii="Times New Roman" w:hAnsi="Times New Roman" w:eastAsia="方正仿宋简体"/>
          <w:color w:val="000000" w:themeColor="text1"/>
          <w:sz w:val="32"/>
          <w:szCs w:val="32"/>
          <w14:textFill>
            <w14:solidFill>
              <w14:schemeClr w14:val="tx1"/>
            </w14:solidFill>
          </w14:textFill>
        </w:rPr>
      </w:pPr>
    </w:p>
    <w:p w14:paraId="3CF60E92">
      <w:pPr>
        <w:pStyle w:val="3"/>
        <w:keepNext w:val="0"/>
        <w:keepLines w:val="0"/>
        <w:overflowPunct w:val="0"/>
        <w:spacing w:before="0" w:after="0" w:line="590" w:lineRule="exact"/>
        <w:jc w:val="center"/>
        <w:rPr>
          <w:rFonts w:ascii="黑体" w:hAnsi="黑体" w:eastAsia="黑体" w:cs="Times New Roman (标题 CS)"/>
          <w:b w:val="0"/>
          <w:color w:val="000000" w:themeColor="text1"/>
          <w14:textFill>
            <w14:solidFill>
              <w14:schemeClr w14:val="tx1"/>
            </w14:solidFill>
          </w14:textFill>
        </w:rPr>
      </w:pPr>
      <w:bookmarkStart w:id="226" w:name="_Toc74035537"/>
      <w:bookmarkStart w:id="227" w:name="_Toc73976185"/>
      <w:r>
        <w:rPr>
          <w:rFonts w:hint="eastAsia" w:ascii="黑体" w:hAnsi="黑体" w:eastAsia="黑体" w:cs="Times New Roman (标题 CS)"/>
          <w:b w:val="0"/>
          <w:color w:val="000000" w:themeColor="text1"/>
          <w14:textFill>
            <w14:solidFill>
              <w14:schemeClr w14:val="tx1"/>
            </w14:solidFill>
          </w14:textFill>
        </w:rPr>
        <w:t>第四节 完善党和国家监督体系</w:t>
      </w:r>
      <w:bookmarkEnd w:id="226"/>
      <w:bookmarkEnd w:id="227"/>
    </w:p>
    <w:p w14:paraId="5FAD6E2A">
      <w:pPr>
        <w:widowControl w:val="0"/>
      </w:pPr>
    </w:p>
    <w:p w14:paraId="10B84BA7">
      <w:pPr>
        <w:widowControl w:val="0"/>
        <w:overflowPunct w:val="0"/>
        <w:spacing w:line="590" w:lineRule="exact"/>
        <w:ind w:firstLine="630" w:firstLineChars="196"/>
        <w:jc w:val="both"/>
        <w:rPr>
          <w:rFonts w:ascii="方正仿宋简体" w:eastAsia="方正仿宋简体"/>
          <w:sz w:val="32"/>
          <w:szCs w:val="32"/>
        </w:rPr>
      </w:pPr>
      <w:r>
        <w:rPr>
          <w:rFonts w:hint="eastAsia" w:ascii="方正仿宋简体" w:hAnsi="仿宋" w:eastAsia="方正仿宋简体"/>
          <w:b/>
          <w:sz w:val="32"/>
          <w:szCs w:val="32"/>
        </w:rPr>
        <w:t>促进监督贯通融合。</w:t>
      </w:r>
      <w:r>
        <w:rPr>
          <w:rFonts w:hint="eastAsia" w:ascii="方正仿宋简体" w:eastAsia="方正仿宋简体"/>
          <w:sz w:val="32"/>
          <w:szCs w:val="32"/>
        </w:rPr>
        <w:t>健全党统一领导、全面覆盖、权威高效的监督体系，形成决策科学、执行坚决、监督有力的权力运行机制。落实全面从严治党主体责任、监督责任，强化政治监督。推进纪律监督、监察监督、派驻监督、巡视监督统筹衔接，以党内监督为主导、推动各类监督贯通协调，形成常态长效的监督合力，使监督体系更好融入国家治理体系</w:t>
      </w:r>
      <w:r>
        <w:rPr>
          <w:rFonts w:hint="eastAsia" w:ascii="方正仿宋简体" w:hAnsi="仿宋" w:eastAsia="方正仿宋简体" w:cs="Helvetica"/>
          <w:sz w:val="32"/>
          <w:szCs w:val="32"/>
        </w:rPr>
        <w:t>，以强有力的政治监督保障我区“十四五”规划顺利实施。</w:t>
      </w:r>
    </w:p>
    <w:p w14:paraId="7A554CD7">
      <w:pPr>
        <w:overflowPunct w:val="0"/>
        <w:spacing w:line="590" w:lineRule="exact"/>
        <w:ind w:firstLine="630" w:firstLineChars="196"/>
        <w:jc w:val="both"/>
        <w:rPr>
          <w:rFonts w:ascii="方正仿宋简体" w:eastAsia="方正仿宋简体"/>
          <w:sz w:val="32"/>
          <w:szCs w:val="32"/>
        </w:rPr>
      </w:pPr>
      <w:r>
        <w:rPr>
          <w:rFonts w:hint="eastAsia" w:ascii="方正仿宋简体" w:hAnsi="仿宋" w:eastAsia="方正仿宋简体"/>
          <w:b/>
          <w:sz w:val="32"/>
          <w:szCs w:val="32"/>
        </w:rPr>
        <w:t>持续织密制度笼子。</w:t>
      </w:r>
      <w:r>
        <w:rPr>
          <w:rFonts w:hint="eastAsia" w:ascii="方正仿宋简体" w:eastAsia="方正仿宋简体"/>
          <w:sz w:val="32"/>
          <w:szCs w:val="32"/>
        </w:rPr>
        <w:t>完善权力配置和运行制约机制，健全分事行权、分岗设权、分级授权、定期轮岗制度，完善党务、政务、司法和各领域办事公开制度，健全发现问题、纠正偏差、精准问责有效机制，构建全覆盖的责任制度和监督制度。坚持无禁区、全覆盖、零容忍，一体推进不敢腐、不能腐、不想腐，营造风清气正的良好政治生态和发展环境。</w:t>
      </w:r>
    </w:p>
    <w:p w14:paraId="4D80A7E3">
      <w:pPr>
        <w:overflowPunct w:val="0"/>
        <w:spacing w:line="590" w:lineRule="exact"/>
        <w:ind w:firstLine="643" w:firstLineChars="200"/>
        <w:jc w:val="both"/>
        <w:rPr>
          <w:rFonts w:ascii="Times New Roman" w:hAnsi="Times New Roman" w:eastAsia="方正仿宋简体"/>
          <w:color w:val="000000" w:themeColor="text1"/>
          <w:sz w:val="32"/>
          <w:szCs w:val="32"/>
          <w14:textFill>
            <w14:solidFill>
              <w14:schemeClr w14:val="tx1"/>
            </w14:solidFill>
          </w14:textFill>
        </w:rPr>
      </w:pPr>
      <w:r>
        <w:rPr>
          <w:rFonts w:hint="eastAsia" w:ascii="方正仿宋简体" w:hAnsi="仿宋" w:eastAsia="方正仿宋简体"/>
          <w:b/>
          <w:sz w:val="32"/>
          <w:szCs w:val="32"/>
        </w:rPr>
        <w:t>抓实监督关键任务。</w:t>
      </w:r>
      <w:r>
        <w:rPr>
          <w:rFonts w:hint="eastAsia" w:ascii="方正仿宋简体" w:eastAsia="方正仿宋简体"/>
          <w:sz w:val="32"/>
          <w:szCs w:val="32"/>
        </w:rPr>
        <w:t>深化整治形式主义、官僚主义顽瘴痼疾，锲而不舍落实中央八项规定及其实施细则精神，完善作风建设长效机制，持续纠治形式主义、官僚主义，切实防止享乐主义、奢靡之风反弹回潮，坚决整治群众身边的腐败和不正之风。充分发挥党内监督利剑和密切联系群众纽带作用，精准落实政治巡视要求，深化巡视巡察整改和成果运用。深化纪检监察体制改革，加强上级纪委监委对下级纪委监委的领导，推进纪检监察工作规范化、法治化，发挥监督保障执行、促进完善发展作用。</w:t>
      </w:r>
    </w:p>
    <w:p w14:paraId="28FCDF84">
      <w:pPr>
        <w:overflowPunct w:val="0"/>
        <w:snapToGrid w:val="0"/>
        <w:spacing w:line="590" w:lineRule="exact"/>
        <w:jc w:val="both"/>
        <w:rPr>
          <w:rFonts w:ascii="Times New Roman" w:hAnsi="Times New Roman" w:eastAsia="方正仿宋简体"/>
          <w:color w:val="000000" w:themeColor="text1"/>
          <w:sz w:val="32"/>
          <w:szCs w:val="32"/>
          <w14:textFill>
            <w14:solidFill>
              <w14:schemeClr w14:val="tx1"/>
            </w14:solidFill>
          </w14:textFill>
        </w:rPr>
      </w:pPr>
    </w:p>
    <w:p w14:paraId="0B3F5CAB">
      <w:pPr>
        <w:overflowPunct w:val="0"/>
        <w:snapToGrid w:val="0"/>
        <w:spacing w:line="590" w:lineRule="exact"/>
        <w:jc w:val="both"/>
        <w:rPr>
          <w:rFonts w:ascii="Times New Roman" w:hAnsi="Times New Roman" w:eastAsia="方正仿宋简体"/>
          <w:color w:val="000000" w:themeColor="text1"/>
          <w:sz w:val="32"/>
          <w:szCs w:val="32"/>
          <w14:textFill>
            <w14:solidFill>
              <w14:schemeClr w14:val="tx1"/>
            </w14:solidFill>
          </w14:textFill>
        </w:rPr>
      </w:pPr>
    </w:p>
    <w:sectPr>
      <w:pgSz w:w="11900" w:h="16840"/>
      <w:pgMar w:top="1928" w:right="1474" w:bottom="1701" w:left="1588"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Times New Roman (标题 CS)">
    <w:altName w:val="Times New Roman"/>
    <w:panose1 w:val="00000000000000000000"/>
    <w:charset w:val="00"/>
    <w:family w:val="roman"/>
    <w:pitch w:val="default"/>
    <w:sig w:usb0="00000000" w:usb1="00000000" w:usb2="00000009" w:usb3="00000000" w:csb0="000001FF" w:csb1="00000000"/>
  </w:font>
  <w:font w:name="方正黑体简体">
    <w:panose1 w:val="02010601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6730609"/>
    </w:sdtPr>
    <w:sdtEndPr>
      <w:rPr>
        <w:rFonts w:ascii="宋体" w:hAnsi="宋体" w:eastAsia="宋体"/>
        <w:sz w:val="28"/>
        <w:szCs w:val="28"/>
      </w:rPr>
    </w:sdtEndPr>
    <w:sdtContent>
      <w:p w14:paraId="765E27D4">
        <w:pPr>
          <w:pStyle w:val="13"/>
          <w:ind w:right="36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6730612"/>
    </w:sdtPr>
    <w:sdtEndPr>
      <w:rPr>
        <w:rFonts w:ascii="宋体" w:hAnsi="宋体" w:eastAsia="宋体"/>
        <w:sz w:val="28"/>
        <w:szCs w:val="28"/>
      </w:rPr>
    </w:sdtEndPr>
    <w:sdtContent>
      <w:p w14:paraId="22C9C880">
        <w:pPr>
          <w:pStyle w:val="13"/>
          <w:ind w:firstLine="270" w:firstLineChars="15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108</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638557CC">
      <w:pPr>
        <w:pStyle w:val="17"/>
      </w:pPr>
      <w:r>
        <w:footnoteRef/>
      </w:r>
      <w:r>
        <w:t>2016-2019</w:t>
      </w:r>
      <w:r>
        <w:rPr>
          <w:rFonts w:hint="eastAsia"/>
        </w:rPr>
        <w:t>年接待游客总量、旅游总收入年均分别增长</w:t>
      </w:r>
      <w:r>
        <w:t>20.02%</w:t>
      </w:r>
      <w:r>
        <w:rPr>
          <w:rFonts w:hint="eastAsia"/>
        </w:rPr>
        <w:t>、</w:t>
      </w:r>
      <w:r>
        <w:t>26.28%</w:t>
      </w:r>
      <w:r>
        <w:rPr>
          <w:rFonts w:hint="eastAsia"/>
        </w:rPr>
        <w:t>，受新冠肺炎疫情影响，2</w:t>
      </w:r>
      <w:r>
        <w:t>020</w:t>
      </w:r>
      <w:r>
        <w:rPr>
          <w:rFonts w:hint="eastAsia"/>
        </w:rPr>
        <w:t>年该两项指标大幅下降，不能反映“十三五”期间旅游发展的真实情况。</w:t>
      </w:r>
    </w:p>
  </w:footnote>
  <w:footnote w:id="1">
    <w:p w14:paraId="7583F286">
      <w:pPr>
        <w:pStyle w:val="17"/>
        <w:jc w:val="both"/>
        <w:rPr>
          <w:sz w:val="21"/>
          <w:szCs w:val="21"/>
        </w:rPr>
      </w:pPr>
      <w:r>
        <w:rPr>
          <w:rStyle w:val="34"/>
          <w:sz w:val="21"/>
          <w:szCs w:val="21"/>
        </w:rPr>
        <w:footnoteRef/>
      </w:r>
      <w:r>
        <w:rPr>
          <w:rFonts w:hint="eastAsia"/>
          <w:sz w:val="21"/>
          <w:szCs w:val="21"/>
        </w:rPr>
        <w:t>以2020年全区调整后的地区生产总值43</w:t>
      </w:r>
      <w:r>
        <w:rPr>
          <w:sz w:val="21"/>
          <w:szCs w:val="21"/>
        </w:rPr>
        <w:t>8.</w:t>
      </w:r>
      <w:r>
        <w:rPr>
          <w:rFonts w:hint="eastAsia"/>
          <w:sz w:val="21"/>
          <w:szCs w:val="21"/>
        </w:rPr>
        <w:t>08亿元为基础，价格指数按1</w:t>
      </w:r>
      <w:r>
        <w:rPr>
          <w:sz w:val="21"/>
          <w:szCs w:val="21"/>
        </w:rPr>
        <w:t>01%</w:t>
      </w:r>
      <w:r>
        <w:rPr>
          <w:rFonts w:hint="eastAsia"/>
          <w:sz w:val="21"/>
          <w:szCs w:val="21"/>
        </w:rPr>
        <w:t>计算。</w:t>
      </w:r>
    </w:p>
  </w:footnote>
  <w:footnote w:id="2">
    <w:p w14:paraId="1D003CAC">
      <w:pPr>
        <w:pStyle w:val="17"/>
        <w:jc w:val="both"/>
        <w:rPr>
          <w:sz w:val="21"/>
          <w:szCs w:val="21"/>
        </w:rPr>
      </w:pPr>
      <w:r>
        <w:rPr>
          <w:rStyle w:val="34"/>
          <w:sz w:val="21"/>
          <w:szCs w:val="21"/>
        </w:rPr>
        <w:footnoteRef/>
      </w:r>
      <w:r>
        <w:rPr>
          <w:rFonts w:hint="eastAsia"/>
          <w:sz w:val="21"/>
          <w:szCs w:val="21"/>
        </w:rPr>
        <w:t>全区一般公共预算总收入2</w:t>
      </w:r>
      <w:r>
        <w:rPr>
          <w:sz w:val="21"/>
          <w:szCs w:val="21"/>
        </w:rPr>
        <w:t>020</w:t>
      </w:r>
      <w:r>
        <w:rPr>
          <w:rFonts w:hint="eastAsia"/>
          <w:sz w:val="21"/>
          <w:szCs w:val="21"/>
        </w:rPr>
        <w:t>年为20.24亿元，未来5年每年按不低于10</w:t>
      </w:r>
      <w:r>
        <w:rPr>
          <w:sz w:val="21"/>
          <w:szCs w:val="21"/>
        </w:rPr>
        <w:t>%</w:t>
      </w:r>
      <w:r>
        <w:rPr>
          <w:rFonts w:hint="eastAsia"/>
          <w:sz w:val="21"/>
          <w:szCs w:val="21"/>
        </w:rPr>
        <w:t>增速增长，2</w:t>
      </w:r>
      <w:r>
        <w:rPr>
          <w:sz w:val="21"/>
          <w:szCs w:val="21"/>
        </w:rPr>
        <w:t>025</w:t>
      </w:r>
      <w:r>
        <w:rPr>
          <w:rFonts w:hint="eastAsia"/>
          <w:sz w:val="21"/>
          <w:szCs w:val="21"/>
        </w:rPr>
        <w:t>年全区一般公共预算总收入预计超30亿元。</w:t>
      </w:r>
    </w:p>
  </w:footnote>
  <w:footnote w:id="3">
    <w:p w14:paraId="37AB0EF0">
      <w:pPr>
        <w:pStyle w:val="17"/>
        <w:jc w:val="both"/>
        <w:rPr>
          <w:sz w:val="21"/>
          <w:szCs w:val="21"/>
        </w:rPr>
      </w:pPr>
      <w:r>
        <w:rPr>
          <w:rStyle w:val="34"/>
          <w:sz w:val="21"/>
          <w:szCs w:val="21"/>
        </w:rPr>
        <w:footnoteRef/>
      </w:r>
      <w:r>
        <w:rPr>
          <w:rFonts w:hint="eastAsia"/>
          <w:sz w:val="21"/>
          <w:szCs w:val="21"/>
        </w:rPr>
        <w:t>奋斗目标：力争到2</w:t>
      </w:r>
      <w:r>
        <w:rPr>
          <w:sz w:val="21"/>
          <w:szCs w:val="21"/>
        </w:rPr>
        <w:t>025</w:t>
      </w:r>
      <w:r>
        <w:rPr>
          <w:rFonts w:hint="eastAsia"/>
          <w:sz w:val="21"/>
          <w:szCs w:val="21"/>
        </w:rPr>
        <w:t>年实现全区</w:t>
      </w:r>
      <w:r>
        <w:rPr>
          <w:sz w:val="21"/>
          <w:szCs w:val="21"/>
        </w:rPr>
        <w:t>生产总值</w:t>
      </w:r>
      <w:r>
        <w:rPr>
          <w:rFonts w:hint="eastAsia"/>
          <w:sz w:val="21"/>
          <w:szCs w:val="21"/>
        </w:rPr>
        <w:t>达到</w:t>
      </w:r>
      <w:r>
        <w:rPr>
          <w:sz w:val="21"/>
          <w:szCs w:val="21"/>
        </w:rPr>
        <w:t>800亿</w:t>
      </w:r>
      <w:r>
        <w:rPr>
          <w:rFonts w:hint="eastAsia"/>
          <w:sz w:val="21"/>
          <w:szCs w:val="21"/>
        </w:rPr>
        <w:t>元，</w:t>
      </w:r>
      <w:r>
        <w:rPr>
          <w:sz w:val="21"/>
          <w:szCs w:val="21"/>
        </w:rPr>
        <w:t>一般公共预算总收入</w:t>
      </w:r>
      <w:r>
        <w:rPr>
          <w:rFonts w:hint="eastAsia"/>
          <w:sz w:val="21"/>
          <w:szCs w:val="21"/>
        </w:rPr>
        <w:t>达到5</w:t>
      </w:r>
      <w:r>
        <w:rPr>
          <w:sz w:val="21"/>
          <w:szCs w:val="21"/>
        </w:rPr>
        <w:t>0</w:t>
      </w:r>
      <w:r>
        <w:rPr>
          <w:rFonts w:hint="eastAsia"/>
          <w:sz w:val="21"/>
          <w:szCs w:val="21"/>
        </w:rPr>
        <w:t>亿元，固定投资额达到2</w:t>
      </w:r>
      <w:r>
        <w:rPr>
          <w:sz w:val="21"/>
          <w:szCs w:val="21"/>
        </w:rPr>
        <w:t>00</w:t>
      </w:r>
      <w:r>
        <w:rPr>
          <w:rFonts w:hint="eastAsia"/>
          <w:sz w:val="21"/>
          <w:szCs w:val="21"/>
        </w:rPr>
        <w:t>亿元。</w:t>
      </w:r>
    </w:p>
  </w:footnote>
  <w:footnote w:id="4">
    <w:p w14:paraId="5570EA52">
      <w:pPr>
        <w:pStyle w:val="17"/>
        <w:rPr>
          <w:sz w:val="21"/>
          <w:szCs w:val="21"/>
        </w:rPr>
      </w:pPr>
      <w:r>
        <w:rPr>
          <w:rStyle w:val="34"/>
          <w:sz w:val="21"/>
          <w:szCs w:val="21"/>
        </w:rPr>
        <w:footnoteRef/>
      </w:r>
      <w:r>
        <w:rPr>
          <w:rFonts w:hint="eastAsia"/>
          <w:sz w:val="21"/>
          <w:szCs w:val="21"/>
        </w:rPr>
        <w:t>“2</w:t>
      </w:r>
      <w:r>
        <w:rPr>
          <w:sz w:val="21"/>
          <w:szCs w:val="21"/>
        </w:rPr>
        <w:t>1333</w:t>
      </w:r>
      <w:r>
        <w:rPr>
          <w:rFonts w:hint="eastAsia"/>
          <w:sz w:val="21"/>
          <w:szCs w:val="21"/>
        </w:rPr>
        <w:t>”产业结构表示为：2大传统优势制造业——纺织鞋服、机械汽配，1大战略新兴产业——新一代信息技术产业，3大生产性服务业——科技金融、</w:t>
      </w:r>
      <w:r>
        <w:rPr>
          <w:sz w:val="21"/>
          <w:szCs w:val="21"/>
        </w:rPr>
        <w:t>电子商务、</w:t>
      </w:r>
      <w:r>
        <w:rPr>
          <w:rFonts w:hint="eastAsia"/>
          <w:sz w:val="21"/>
          <w:szCs w:val="21"/>
        </w:rPr>
        <w:t>数字文创，3大生活性服务业——商贸服务、文化旅游、家庭服务，3大新经济模式——楼宇经济、数字经济、度假经济。</w:t>
      </w:r>
    </w:p>
  </w:footnote>
  <w:footnote w:id="5">
    <w:p w14:paraId="101F33E6">
      <w:pPr>
        <w:pStyle w:val="17"/>
        <w:rPr>
          <w:sz w:val="21"/>
          <w:szCs w:val="21"/>
        </w:rPr>
      </w:pPr>
      <w:r>
        <w:rPr>
          <w:rStyle w:val="34"/>
          <w:sz w:val="21"/>
          <w:szCs w:val="21"/>
        </w:rPr>
        <w:footnoteRef/>
      </w:r>
      <w:r>
        <w:rPr>
          <w:rFonts w:hint="eastAsia"/>
          <w:sz w:val="21"/>
          <w:szCs w:val="21"/>
        </w:rPr>
        <w:t>“</w:t>
      </w:r>
      <w:r>
        <w:rPr>
          <w:sz w:val="21"/>
          <w:szCs w:val="21"/>
        </w:rPr>
        <w:t>一城</w:t>
      </w:r>
      <w:r>
        <w:rPr>
          <w:rFonts w:hint="eastAsia"/>
          <w:sz w:val="21"/>
          <w:szCs w:val="21"/>
        </w:rPr>
        <w:t>”</w:t>
      </w:r>
      <w:r>
        <w:rPr>
          <w:sz w:val="21"/>
          <w:szCs w:val="21"/>
        </w:rPr>
        <w:t>即国家级文化生态旅游度假古城区，</w:t>
      </w:r>
      <w:r>
        <w:rPr>
          <w:rFonts w:hint="eastAsia"/>
          <w:sz w:val="21"/>
          <w:szCs w:val="21"/>
        </w:rPr>
        <w:t>“</w:t>
      </w:r>
      <w:r>
        <w:rPr>
          <w:sz w:val="21"/>
          <w:szCs w:val="21"/>
        </w:rPr>
        <w:t>一带</w:t>
      </w:r>
      <w:r>
        <w:rPr>
          <w:rFonts w:hint="eastAsia"/>
          <w:sz w:val="21"/>
          <w:szCs w:val="21"/>
        </w:rPr>
        <w:t>”</w:t>
      </w:r>
      <w:r>
        <w:rPr>
          <w:sz w:val="21"/>
          <w:szCs w:val="21"/>
        </w:rPr>
        <w:t>为滨江文体</w:t>
      </w:r>
      <w:r>
        <w:rPr>
          <w:rFonts w:hint="eastAsia"/>
          <w:sz w:val="21"/>
          <w:szCs w:val="21"/>
        </w:rPr>
        <w:t>旅游</w:t>
      </w:r>
      <w:r>
        <w:rPr>
          <w:sz w:val="21"/>
          <w:szCs w:val="21"/>
        </w:rPr>
        <w:t>休闲带，</w:t>
      </w:r>
      <w:r>
        <w:rPr>
          <w:rFonts w:hint="eastAsia"/>
          <w:sz w:val="21"/>
          <w:szCs w:val="21"/>
        </w:rPr>
        <w:t>“</w:t>
      </w:r>
      <w:r>
        <w:rPr>
          <w:sz w:val="21"/>
          <w:szCs w:val="21"/>
        </w:rPr>
        <w:t>一园</w:t>
      </w:r>
      <w:r>
        <w:rPr>
          <w:rFonts w:hint="eastAsia"/>
          <w:sz w:val="21"/>
          <w:szCs w:val="21"/>
        </w:rPr>
        <w:t>”</w:t>
      </w:r>
      <w:r>
        <w:rPr>
          <w:sz w:val="21"/>
          <w:szCs w:val="21"/>
        </w:rPr>
        <w:t>即紫帽山旅游康养园。</w:t>
      </w:r>
    </w:p>
  </w:footnote>
  <w:footnote w:id="6">
    <w:p w14:paraId="7DE2E1C2">
      <w:pPr>
        <w:pStyle w:val="17"/>
        <w:rPr>
          <w:sz w:val="21"/>
          <w:szCs w:val="21"/>
        </w:rPr>
      </w:pPr>
      <w:r>
        <w:rPr>
          <w:rStyle w:val="34"/>
          <w:sz w:val="21"/>
          <w:szCs w:val="21"/>
        </w:rPr>
        <w:footnoteRef/>
      </w:r>
      <w:r>
        <w:rPr>
          <w:rFonts w:hint="eastAsia"/>
          <w:sz w:val="21"/>
          <w:szCs w:val="21"/>
        </w:rPr>
        <w:t>鲤城教育发展基金会、崇德教育培训中心、泉州市鲤城崇德文化教育中心有限公司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hideGrammaticalErrors/>
  <w:documentProtection w:enforcement="0"/>
  <w:defaultTabStop w:val="420"/>
  <w:evenAndOddHeaders w:val="1"/>
  <w:drawingGridHorizontalSpacing w:val="120"/>
  <w:drawingGridVerticalSpacing w:val="423"/>
  <w:displayHorizontalDrawingGridEvery w:val="0"/>
  <w:characterSpacingControl w:val="compressPunctuation"/>
  <w:footnotePr>
    <w:numFmt w:val="decimalEnclosedCircleChinese"/>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DCB"/>
    <w:rsid w:val="00000253"/>
    <w:rsid w:val="00000A03"/>
    <w:rsid w:val="00000AE7"/>
    <w:rsid w:val="00002644"/>
    <w:rsid w:val="0000285C"/>
    <w:rsid w:val="00002A95"/>
    <w:rsid w:val="00005AF2"/>
    <w:rsid w:val="0000652B"/>
    <w:rsid w:val="00006649"/>
    <w:rsid w:val="00006E8A"/>
    <w:rsid w:val="00010DFD"/>
    <w:rsid w:val="00011692"/>
    <w:rsid w:val="00011D74"/>
    <w:rsid w:val="00012754"/>
    <w:rsid w:val="00012ACC"/>
    <w:rsid w:val="00012C77"/>
    <w:rsid w:val="0001360C"/>
    <w:rsid w:val="00013739"/>
    <w:rsid w:val="00014F14"/>
    <w:rsid w:val="00015796"/>
    <w:rsid w:val="000167F2"/>
    <w:rsid w:val="0001722A"/>
    <w:rsid w:val="0001735F"/>
    <w:rsid w:val="000175C2"/>
    <w:rsid w:val="000207AD"/>
    <w:rsid w:val="00020B52"/>
    <w:rsid w:val="000225E2"/>
    <w:rsid w:val="00023A38"/>
    <w:rsid w:val="00023FC1"/>
    <w:rsid w:val="000240C5"/>
    <w:rsid w:val="000262CC"/>
    <w:rsid w:val="00026389"/>
    <w:rsid w:val="000267DF"/>
    <w:rsid w:val="0002692E"/>
    <w:rsid w:val="0002751E"/>
    <w:rsid w:val="00031569"/>
    <w:rsid w:val="000319C9"/>
    <w:rsid w:val="00031F4F"/>
    <w:rsid w:val="00032075"/>
    <w:rsid w:val="00032C1F"/>
    <w:rsid w:val="00033D5A"/>
    <w:rsid w:val="00034868"/>
    <w:rsid w:val="0003630A"/>
    <w:rsid w:val="00036553"/>
    <w:rsid w:val="00036B9A"/>
    <w:rsid w:val="00036F12"/>
    <w:rsid w:val="00037B94"/>
    <w:rsid w:val="00037FF5"/>
    <w:rsid w:val="00040E23"/>
    <w:rsid w:val="0004465B"/>
    <w:rsid w:val="00044F3E"/>
    <w:rsid w:val="00047AD2"/>
    <w:rsid w:val="00050B43"/>
    <w:rsid w:val="000519C6"/>
    <w:rsid w:val="000522E0"/>
    <w:rsid w:val="000525DB"/>
    <w:rsid w:val="00052725"/>
    <w:rsid w:val="00055A91"/>
    <w:rsid w:val="00056863"/>
    <w:rsid w:val="00056A7D"/>
    <w:rsid w:val="00056CD1"/>
    <w:rsid w:val="00057206"/>
    <w:rsid w:val="00057954"/>
    <w:rsid w:val="00057E3F"/>
    <w:rsid w:val="0006002A"/>
    <w:rsid w:val="00061FDC"/>
    <w:rsid w:val="0006264D"/>
    <w:rsid w:val="000628BE"/>
    <w:rsid w:val="0006320C"/>
    <w:rsid w:val="00063F46"/>
    <w:rsid w:val="000645F1"/>
    <w:rsid w:val="000659E5"/>
    <w:rsid w:val="00065F1C"/>
    <w:rsid w:val="00066F8C"/>
    <w:rsid w:val="0006705C"/>
    <w:rsid w:val="00067A6C"/>
    <w:rsid w:val="00072557"/>
    <w:rsid w:val="00072DFC"/>
    <w:rsid w:val="00073685"/>
    <w:rsid w:val="0007414C"/>
    <w:rsid w:val="000744E3"/>
    <w:rsid w:val="00076054"/>
    <w:rsid w:val="000769E3"/>
    <w:rsid w:val="00080436"/>
    <w:rsid w:val="0008050E"/>
    <w:rsid w:val="000805D3"/>
    <w:rsid w:val="00080B33"/>
    <w:rsid w:val="00080C18"/>
    <w:rsid w:val="0008105D"/>
    <w:rsid w:val="00081485"/>
    <w:rsid w:val="00082196"/>
    <w:rsid w:val="00082865"/>
    <w:rsid w:val="000849F4"/>
    <w:rsid w:val="00085B5A"/>
    <w:rsid w:val="00085FDF"/>
    <w:rsid w:val="000907B4"/>
    <w:rsid w:val="00091C1E"/>
    <w:rsid w:val="00094197"/>
    <w:rsid w:val="00094805"/>
    <w:rsid w:val="000952B5"/>
    <w:rsid w:val="00095465"/>
    <w:rsid w:val="00095DA5"/>
    <w:rsid w:val="00097C77"/>
    <w:rsid w:val="000A0200"/>
    <w:rsid w:val="000A0C24"/>
    <w:rsid w:val="000A1454"/>
    <w:rsid w:val="000A20CA"/>
    <w:rsid w:val="000A2C6E"/>
    <w:rsid w:val="000A444B"/>
    <w:rsid w:val="000A4C70"/>
    <w:rsid w:val="000A52D9"/>
    <w:rsid w:val="000A54B8"/>
    <w:rsid w:val="000A6286"/>
    <w:rsid w:val="000B0ED9"/>
    <w:rsid w:val="000B4A3E"/>
    <w:rsid w:val="000B4EDB"/>
    <w:rsid w:val="000B4F22"/>
    <w:rsid w:val="000B4F61"/>
    <w:rsid w:val="000B5941"/>
    <w:rsid w:val="000B6607"/>
    <w:rsid w:val="000B7FFE"/>
    <w:rsid w:val="000C15D4"/>
    <w:rsid w:val="000C1B78"/>
    <w:rsid w:val="000C1D51"/>
    <w:rsid w:val="000C26FD"/>
    <w:rsid w:val="000C31A7"/>
    <w:rsid w:val="000C4B83"/>
    <w:rsid w:val="000C5003"/>
    <w:rsid w:val="000C6B54"/>
    <w:rsid w:val="000C7E44"/>
    <w:rsid w:val="000D01C3"/>
    <w:rsid w:val="000D0DDA"/>
    <w:rsid w:val="000D2726"/>
    <w:rsid w:val="000D6342"/>
    <w:rsid w:val="000D6DE9"/>
    <w:rsid w:val="000D7AC7"/>
    <w:rsid w:val="000E0C24"/>
    <w:rsid w:val="000E0D08"/>
    <w:rsid w:val="000E3BE2"/>
    <w:rsid w:val="000E4CA3"/>
    <w:rsid w:val="000E4CDA"/>
    <w:rsid w:val="000F3410"/>
    <w:rsid w:val="000F3A7C"/>
    <w:rsid w:val="000F58FB"/>
    <w:rsid w:val="000F59D6"/>
    <w:rsid w:val="000F6DE1"/>
    <w:rsid w:val="000F7196"/>
    <w:rsid w:val="000F7559"/>
    <w:rsid w:val="000F7C1B"/>
    <w:rsid w:val="00103B95"/>
    <w:rsid w:val="0010463A"/>
    <w:rsid w:val="00104B87"/>
    <w:rsid w:val="00110309"/>
    <w:rsid w:val="001121C0"/>
    <w:rsid w:val="00112E8A"/>
    <w:rsid w:val="0011627D"/>
    <w:rsid w:val="001167E6"/>
    <w:rsid w:val="00116F19"/>
    <w:rsid w:val="001172C8"/>
    <w:rsid w:val="00117834"/>
    <w:rsid w:val="00120108"/>
    <w:rsid w:val="00121390"/>
    <w:rsid w:val="00124D0E"/>
    <w:rsid w:val="00125235"/>
    <w:rsid w:val="00125931"/>
    <w:rsid w:val="00125FA6"/>
    <w:rsid w:val="001276A7"/>
    <w:rsid w:val="0012776F"/>
    <w:rsid w:val="001301FC"/>
    <w:rsid w:val="00130882"/>
    <w:rsid w:val="001311A1"/>
    <w:rsid w:val="0013272B"/>
    <w:rsid w:val="00133413"/>
    <w:rsid w:val="0013364B"/>
    <w:rsid w:val="00133EDB"/>
    <w:rsid w:val="001348A7"/>
    <w:rsid w:val="001359EE"/>
    <w:rsid w:val="00136119"/>
    <w:rsid w:val="00137593"/>
    <w:rsid w:val="00140651"/>
    <w:rsid w:val="001407A3"/>
    <w:rsid w:val="00140C1C"/>
    <w:rsid w:val="0014175D"/>
    <w:rsid w:val="00141CCB"/>
    <w:rsid w:val="00141D30"/>
    <w:rsid w:val="00142107"/>
    <w:rsid w:val="00142275"/>
    <w:rsid w:val="0014395F"/>
    <w:rsid w:val="00144606"/>
    <w:rsid w:val="00145B1A"/>
    <w:rsid w:val="00145F4E"/>
    <w:rsid w:val="00147039"/>
    <w:rsid w:val="001471B3"/>
    <w:rsid w:val="00147452"/>
    <w:rsid w:val="00147A55"/>
    <w:rsid w:val="00150147"/>
    <w:rsid w:val="001501F5"/>
    <w:rsid w:val="00151248"/>
    <w:rsid w:val="00152EDC"/>
    <w:rsid w:val="00153601"/>
    <w:rsid w:val="00155830"/>
    <w:rsid w:val="0015584C"/>
    <w:rsid w:val="00156BC0"/>
    <w:rsid w:val="00157627"/>
    <w:rsid w:val="001605B4"/>
    <w:rsid w:val="00161E36"/>
    <w:rsid w:val="00163873"/>
    <w:rsid w:val="00163B07"/>
    <w:rsid w:val="00164026"/>
    <w:rsid w:val="00164E1C"/>
    <w:rsid w:val="00165CF9"/>
    <w:rsid w:val="001668D1"/>
    <w:rsid w:val="00166CD3"/>
    <w:rsid w:val="0016765E"/>
    <w:rsid w:val="00170602"/>
    <w:rsid w:val="00170851"/>
    <w:rsid w:val="001719DC"/>
    <w:rsid w:val="00172851"/>
    <w:rsid w:val="00172F8B"/>
    <w:rsid w:val="0017392C"/>
    <w:rsid w:val="00173D74"/>
    <w:rsid w:val="00174EA6"/>
    <w:rsid w:val="00175B72"/>
    <w:rsid w:val="001769E4"/>
    <w:rsid w:val="0017784F"/>
    <w:rsid w:val="00180D72"/>
    <w:rsid w:val="00180FF3"/>
    <w:rsid w:val="00181241"/>
    <w:rsid w:val="00182E29"/>
    <w:rsid w:val="00184307"/>
    <w:rsid w:val="001857B3"/>
    <w:rsid w:val="00187782"/>
    <w:rsid w:val="001912CC"/>
    <w:rsid w:val="001914EE"/>
    <w:rsid w:val="00193C26"/>
    <w:rsid w:val="00195A47"/>
    <w:rsid w:val="0019613D"/>
    <w:rsid w:val="00196B56"/>
    <w:rsid w:val="001974D8"/>
    <w:rsid w:val="001975BB"/>
    <w:rsid w:val="001A050E"/>
    <w:rsid w:val="001A1F10"/>
    <w:rsid w:val="001A26F0"/>
    <w:rsid w:val="001A2CE6"/>
    <w:rsid w:val="001A4ED1"/>
    <w:rsid w:val="001A7506"/>
    <w:rsid w:val="001B1115"/>
    <w:rsid w:val="001B223B"/>
    <w:rsid w:val="001B3239"/>
    <w:rsid w:val="001B5E95"/>
    <w:rsid w:val="001B6435"/>
    <w:rsid w:val="001B663C"/>
    <w:rsid w:val="001B6BEF"/>
    <w:rsid w:val="001B7CC2"/>
    <w:rsid w:val="001C1EE6"/>
    <w:rsid w:val="001C20E0"/>
    <w:rsid w:val="001C25AB"/>
    <w:rsid w:val="001C315A"/>
    <w:rsid w:val="001C4334"/>
    <w:rsid w:val="001C48D5"/>
    <w:rsid w:val="001C510C"/>
    <w:rsid w:val="001C5766"/>
    <w:rsid w:val="001C57B3"/>
    <w:rsid w:val="001C6470"/>
    <w:rsid w:val="001C7072"/>
    <w:rsid w:val="001D038D"/>
    <w:rsid w:val="001D0F46"/>
    <w:rsid w:val="001D1231"/>
    <w:rsid w:val="001D23DD"/>
    <w:rsid w:val="001D2A4F"/>
    <w:rsid w:val="001D3C8D"/>
    <w:rsid w:val="001D5F87"/>
    <w:rsid w:val="001D63D3"/>
    <w:rsid w:val="001D7EF1"/>
    <w:rsid w:val="001E0571"/>
    <w:rsid w:val="001E0D8D"/>
    <w:rsid w:val="001E0F26"/>
    <w:rsid w:val="001E2090"/>
    <w:rsid w:val="001E7040"/>
    <w:rsid w:val="001E7C04"/>
    <w:rsid w:val="001F06ED"/>
    <w:rsid w:val="001F08A9"/>
    <w:rsid w:val="001F1523"/>
    <w:rsid w:val="001F2F04"/>
    <w:rsid w:val="001F4609"/>
    <w:rsid w:val="001F5C03"/>
    <w:rsid w:val="001F65CE"/>
    <w:rsid w:val="001F696A"/>
    <w:rsid w:val="001F711D"/>
    <w:rsid w:val="001F737C"/>
    <w:rsid w:val="001F7DB0"/>
    <w:rsid w:val="00200C42"/>
    <w:rsid w:val="0020136A"/>
    <w:rsid w:val="0020150C"/>
    <w:rsid w:val="00201EFD"/>
    <w:rsid w:val="00202AEE"/>
    <w:rsid w:val="0020423B"/>
    <w:rsid w:val="002045F4"/>
    <w:rsid w:val="00204B7C"/>
    <w:rsid w:val="00204CC6"/>
    <w:rsid w:val="0020564A"/>
    <w:rsid w:val="0020674A"/>
    <w:rsid w:val="00215335"/>
    <w:rsid w:val="0022034C"/>
    <w:rsid w:val="002211E2"/>
    <w:rsid w:val="0022124E"/>
    <w:rsid w:val="00221817"/>
    <w:rsid w:val="00222CB8"/>
    <w:rsid w:val="00223CC8"/>
    <w:rsid w:val="00224646"/>
    <w:rsid w:val="00224FD3"/>
    <w:rsid w:val="00226A37"/>
    <w:rsid w:val="00227DFA"/>
    <w:rsid w:val="00231380"/>
    <w:rsid w:val="00231DC2"/>
    <w:rsid w:val="0023252A"/>
    <w:rsid w:val="00233A45"/>
    <w:rsid w:val="0023482A"/>
    <w:rsid w:val="00241548"/>
    <w:rsid w:val="0024176E"/>
    <w:rsid w:val="00247416"/>
    <w:rsid w:val="002513AF"/>
    <w:rsid w:val="00252ED7"/>
    <w:rsid w:val="00253715"/>
    <w:rsid w:val="00253EF5"/>
    <w:rsid w:val="0025460E"/>
    <w:rsid w:val="00254B9B"/>
    <w:rsid w:val="00254E61"/>
    <w:rsid w:val="00254FDE"/>
    <w:rsid w:val="0025531A"/>
    <w:rsid w:val="002558D3"/>
    <w:rsid w:val="00255B3D"/>
    <w:rsid w:val="002565D2"/>
    <w:rsid w:val="00256FEF"/>
    <w:rsid w:val="00257934"/>
    <w:rsid w:val="002602D1"/>
    <w:rsid w:val="002607E5"/>
    <w:rsid w:val="0026113B"/>
    <w:rsid w:val="00261534"/>
    <w:rsid w:val="00261B6F"/>
    <w:rsid w:val="0026258F"/>
    <w:rsid w:val="00263B45"/>
    <w:rsid w:val="00264443"/>
    <w:rsid w:val="00264552"/>
    <w:rsid w:val="002668C2"/>
    <w:rsid w:val="00267963"/>
    <w:rsid w:val="00270B1C"/>
    <w:rsid w:val="00270BD3"/>
    <w:rsid w:val="002717CE"/>
    <w:rsid w:val="002726F0"/>
    <w:rsid w:val="002729D8"/>
    <w:rsid w:val="00272A1F"/>
    <w:rsid w:val="0027464E"/>
    <w:rsid w:val="00274838"/>
    <w:rsid w:val="00274972"/>
    <w:rsid w:val="002751C4"/>
    <w:rsid w:val="00275495"/>
    <w:rsid w:val="00275F4B"/>
    <w:rsid w:val="002762A6"/>
    <w:rsid w:val="00276DD8"/>
    <w:rsid w:val="00277871"/>
    <w:rsid w:val="00281C80"/>
    <w:rsid w:val="00282749"/>
    <w:rsid w:val="00282D56"/>
    <w:rsid w:val="0028358F"/>
    <w:rsid w:val="00283A74"/>
    <w:rsid w:val="00283E01"/>
    <w:rsid w:val="00284505"/>
    <w:rsid w:val="00285641"/>
    <w:rsid w:val="00285CC5"/>
    <w:rsid w:val="002867D8"/>
    <w:rsid w:val="00287A45"/>
    <w:rsid w:val="00287B7C"/>
    <w:rsid w:val="00290502"/>
    <w:rsid w:val="0029187B"/>
    <w:rsid w:val="00291926"/>
    <w:rsid w:val="00292727"/>
    <w:rsid w:val="00292F88"/>
    <w:rsid w:val="00293549"/>
    <w:rsid w:val="002950F3"/>
    <w:rsid w:val="00295858"/>
    <w:rsid w:val="002966D9"/>
    <w:rsid w:val="002973F7"/>
    <w:rsid w:val="002974FB"/>
    <w:rsid w:val="00297514"/>
    <w:rsid w:val="002A00E6"/>
    <w:rsid w:val="002A0402"/>
    <w:rsid w:val="002A1BBD"/>
    <w:rsid w:val="002A4A45"/>
    <w:rsid w:val="002A633B"/>
    <w:rsid w:val="002A7905"/>
    <w:rsid w:val="002A7930"/>
    <w:rsid w:val="002B2205"/>
    <w:rsid w:val="002B23E3"/>
    <w:rsid w:val="002B32A2"/>
    <w:rsid w:val="002B3FC9"/>
    <w:rsid w:val="002B446F"/>
    <w:rsid w:val="002B5058"/>
    <w:rsid w:val="002B6969"/>
    <w:rsid w:val="002B6E83"/>
    <w:rsid w:val="002B6EA7"/>
    <w:rsid w:val="002C0089"/>
    <w:rsid w:val="002C398C"/>
    <w:rsid w:val="002C425F"/>
    <w:rsid w:val="002C5AE5"/>
    <w:rsid w:val="002C5B70"/>
    <w:rsid w:val="002C5FEE"/>
    <w:rsid w:val="002C7B00"/>
    <w:rsid w:val="002D299D"/>
    <w:rsid w:val="002D40DF"/>
    <w:rsid w:val="002D4D7F"/>
    <w:rsid w:val="002D6387"/>
    <w:rsid w:val="002D6FC7"/>
    <w:rsid w:val="002E222E"/>
    <w:rsid w:val="002E324E"/>
    <w:rsid w:val="002E375D"/>
    <w:rsid w:val="002E5208"/>
    <w:rsid w:val="002E5942"/>
    <w:rsid w:val="002F0F93"/>
    <w:rsid w:val="002F462E"/>
    <w:rsid w:val="002F476E"/>
    <w:rsid w:val="002F4839"/>
    <w:rsid w:val="002F5CFE"/>
    <w:rsid w:val="002F7248"/>
    <w:rsid w:val="002F734E"/>
    <w:rsid w:val="00301259"/>
    <w:rsid w:val="00301484"/>
    <w:rsid w:val="00301C7A"/>
    <w:rsid w:val="003022D2"/>
    <w:rsid w:val="003115F5"/>
    <w:rsid w:val="00311F13"/>
    <w:rsid w:val="0031280F"/>
    <w:rsid w:val="00313676"/>
    <w:rsid w:val="00313696"/>
    <w:rsid w:val="0031551D"/>
    <w:rsid w:val="0031568B"/>
    <w:rsid w:val="0031629F"/>
    <w:rsid w:val="00316E55"/>
    <w:rsid w:val="003177F4"/>
    <w:rsid w:val="0032034F"/>
    <w:rsid w:val="00320D93"/>
    <w:rsid w:val="003214BA"/>
    <w:rsid w:val="00321E72"/>
    <w:rsid w:val="003231A3"/>
    <w:rsid w:val="00324607"/>
    <w:rsid w:val="003271A8"/>
    <w:rsid w:val="00327595"/>
    <w:rsid w:val="00330916"/>
    <w:rsid w:val="00330BC7"/>
    <w:rsid w:val="0033130B"/>
    <w:rsid w:val="003315BD"/>
    <w:rsid w:val="00331907"/>
    <w:rsid w:val="00331A40"/>
    <w:rsid w:val="00333E71"/>
    <w:rsid w:val="00333F67"/>
    <w:rsid w:val="00334A5A"/>
    <w:rsid w:val="00335026"/>
    <w:rsid w:val="003365CA"/>
    <w:rsid w:val="003375AD"/>
    <w:rsid w:val="00340967"/>
    <w:rsid w:val="0034113A"/>
    <w:rsid w:val="00341264"/>
    <w:rsid w:val="0034185C"/>
    <w:rsid w:val="0034366C"/>
    <w:rsid w:val="00343826"/>
    <w:rsid w:val="0034447B"/>
    <w:rsid w:val="00344DD8"/>
    <w:rsid w:val="00345961"/>
    <w:rsid w:val="00345F91"/>
    <w:rsid w:val="00350CE2"/>
    <w:rsid w:val="003519CF"/>
    <w:rsid w:val="00352443"/>
    <w:rsid w:val="003527E7"/>
    <w:rsid w:val="003536BF"/>
    <w:rsid w:val="00355A15"/>
    <w:rsid w:val="00355C4B"/>
    <w:rsid w:val="00356B03"/>
    <w:rsid w:val="0036023A"/>
    <w:rsid w:val="00360AB4"/>
    <w:rsid w:val="00360C06"/>
    <w:rsid w:val="0036227B"/>
    <w:rsid w:val="00362FC0"/>
    <w:rsid w:val="0037142F"/>
    <w:rsid w:val="0037178F"/>
    <w:rsid w:val="00372359"/>
    <w:rsid w:val="003735EC"/>
    <w:rsid w:val="00374194"/>
    <w:rsid w:val="00374756"/>
    <w:rsid w:val="00375286"/>
    <w:rsid w:val="00376253"/>
    <w:rsid w:val="00376899"/>
    <w:rsid w:val="00376DFA"/>
    <w:rsid w:val="00377C46"/>
    <w:rsid w:val="00377EB9"/>
    <w:rsid w:val="00380781"/>
    <w:rsid w:val="00380C1D"/>
    <w:rsid w:val="0038114B"/>
    <w:rsid w:val="003827DC"/>
    <w:rsid w:val="003849A8"/>
    <w:rsid w:val="00387448"/>
    <w:rsid w:val="003879B3"/>
    <w:rsid w:val="0039003D"/>
    <w:rsid w:val="00390FBC"/>
    <w:rsid w:val="003917D5"/>
    <w:rsid w:val="0039186C"/>
    <w:rsid w:val="00392A3D"/>
    <w:rsid w:val="00395EB5"/>
    <w:rsid w:val="003A1DC1"/>
    <w:rsid w:val="003A2D2E"/>
    <w:rsid w:val="003A3A2E"/>
    <w:rsid w:val="003A4973"/>
    <w:rsid w:val="003A4A55"/>
    <w:rsid w:val="003A5766"/>
    <w:rsid w:val="003A799F"/>
    <w:rsid w:val="003B270B"/>
    <w:rsid w:val="003B4173"/>
    <w:rsid w:val="003B45C3"/>
    <w:rsid w:val="003B4E3B"/>
    <w:rsid w:val="003B715E"/>
    <w:rsid w:val="003B71FF"/>
    <w:rsid w:val="003C20C1"/>
    <w:rsid w:val="003C2110"/>
    <w:rsid w:val="003C3561"/>
    <w:rsid w:val="003C4930"/>
    <w:rsid w:val="003C5BCF"/>
    <w:rsid w:val="003C5C1B"/>
    <w:rsid w:val="003C7334"/>
    <w:rsid w:val="003C74CF"/>
    <w:rsid w:val="003C783D"/>
    <w:rsid w:val="003C7EB8"/>
    <w:rsid w:val="003D0A04"/>
    <w:rsid w:val="003D1181"/>
    <w:rsid w:val="003D27B5"/>
    <w:rsid w:val="003D2A6A"/>
    <w:rsid w:val="003D2CD1"/>
    <w:rsid w:val="003D2DE8"/>
    <w:rsid w:val="003D3F63"/>
    <w:rsid w:val="003D4532"/>
    <w:rsid w:val="003D493F"/>
    <w:rsid w:val="003D55AD"/>
    <w:rsid w:val="003D5F1D"/>
    <w:rsid w:val="003D685E"/>
    <w:rsid w:val="003D6D76"/>
    <w:rsid w:val="003D70AA"/>
    <w:rsid w:val="003D7E4A"/>
    <w:rsid w:val="003D7E68"/>
    <w:rsid w:val="003E07B7"/>
    <w:rsid w:val="003E1311"/>
    <w:rsid w:val="003E1D97"/>
    <w:rsid w:val="003E227D"/>
    <w:rsid w:val="003E2BDD"/>
    <w:rsid w:val="003E3325"/>
    <w:rsid w:val="003E5AE7"/>
    <w:rsid w:val="003E5D59"/>
    <w:rsid w:val="003E7294"/>
    <w:rsid w:val="003E7D35"/>
    <w:rsid w:val="003F00BA"/>
    <w:rsid w:val="003F0EC5"/>
    <w:rsid w:val="003F1373"/>
    <w:rsid w:val="003F3DDD"/>
    <w:rsid w:val="003F44FF"/>
    <w:rsid w:val="003F4F57"/>
    <w:rsid w:val="003F66CF"/>
    <w:rsid w:val="00400BA4"/>
    <w:rsid w:val="00401EEA"/>
    <w:rsid w:val="0040268A"/>
    <w:rsid w:val="00402CC8"/>
    <w:rsid w:val="0040338E"/>
    <w:rsid w:val="00404F9F"/>
    <w:rsid w:val="004069C0"/>
    <w:rsid w:val="00407711"/>
    <w:rsid w:val="00411361"/>
    <w:rsid w:val="0041144A"/>
    <w:rsid w:val="00414DBD"/>
    <w:rsid w:val="0041724A"/>
    <w:rsid w:val="00420383"/>
    <w:rsid w:val="00420AD3"/>
    <w:rsid w:val="00420D22"/>
    <w:rsid w:val="00420DE5"/>
    <w:rsid w:val="004213A9"/>
    <w:rsid w:val="00422A5A"/>
    <w:rsid w:val="00422EFF"/>
    <w:rsid w:val="00423276"/>
    <w:rsid w:val="00425906"/>
    <w:rsid w:val="004276D2"/>
    <w:rsid w:val="00427751"/>
    <w:rsid w:val="0043057F"/>
    <w:rsid w:val="00430DD7"/>
    <w:rsid w:val="00431BAA"/>
    <w:rsid w:val="004323C5"/>
    <w:rsid w:val="00433179"/>
    <w:rsid w:val="004339F1"/>
    <w:rsid w:val="00433D23"/>
    <w:rsid w:val="00435D0D"/>
    <w:rsid w:val="00436475"/>
    <w:rsid w:val="0043767D"/>
    <w:rsid w:val="0044118A"/>
    <w:rsid w:val="00442C1B"/>
    <w:rsid w:val="00442F75"/>
    <w:rsid w:val="00443358"/>
    <w:rsid w:val="00444776"/>
    <w:rsid w:val="00446648"/>
    <w:rsid w:val="00446942"/>
    <w:rsid w:val="00446C6A"/>
    <w:rsid w:val="00446D39"/>
    <w:rsid w:val="00447A60"/>
    <w:rsid w:val="00447A92"/>
    <w:rsid w:val="0045025F"/>
    <w:rsid w:val="0045122E"/>
    <w:rsid w:val="00451BAD"/>
    <w:rsid w:val="00452080"/>
    <w:rsid w:val="004531FD"/>
    <w:rsid w:val="004547E2"/>
    <w:rsid w:val="00454E85"/>
    <w:rsid w:val="0045568E"/>
    <w:rsid w:val="004569DD"/>
    <w:rsid w:val="0046096A"/>
    <w:rsid w:val="00461D80"/>
    <w:rsid w:val="00461F50"/>
    <w:rsid w:val="004620DC"/>
    <w:rsid w:val="00463C87"/>
    <w:rsid w:val="004645D0"/>
    <w:rsid w:val="0046555F"/>
    <w:rsid w:val="00465806"/>
    <w:rsid w:val="00465A86"/>
    <w:rsid w:val="0046647F"/>
    <w:rsid w:val="004669ED"/>
    <w:rsid w:val="004671FF"/>
    <w:rsid w:val="00472E82"/>
    <w:rsid w:val="00473831"/>
    <w:rsid w:val="00474B0C"/>
    <w:rsid w:val="00475312"/>
    <w:rsid w:val="00475B09"/>
    <w:rsid w:val="004760EB"/>
    <w:rsid w:val="00477271"/>
    <w:rsid w:val="00480F5E"/>
    <w:rsid w:val="004817C5"/>
    <w:rsid w:val="00483BE9"/>
    <w:rsid w:val="0048451D"/>
    <w:rsid w:val="00484C64"/>
    <w:rsid w:val="00486E88"/>
    <w:rsid w:val="0048700B"/>
    <w:rsid w:val="00487BA9"/>
    <w:rsid w:val="004902C7"/>
    <w:rsid w:val="00490457"/>
    <w:rsid w:val="004921E1"/>
    <w:rsid w:val="00494072"/>
    <w:rsid w:val="00495A1B"/>
    <w:rsid w:val="00495B55"/>
    <w:rsid w:val="00496799"/>
    <w:rsid w:val="0049689E"/>
    <w:rsid w:val="00497182"/>
    <w:rsid w:val="00497433"/>
    <w:rsid w:val="004A00EC"/>
    <w:rsid w:val="004A0707"/>
    <w:rsid w:val="004A0B7A"/>
    <w:rsid w:val="004A113B"/>
    <w:rsid w:val="004A1140"/>
    <w:rsid w:val="004A1E00"/>
    <w:rsid w:val="004A1F39"/>
    <w:rsid w:val="004A3E31"/>
    <w:rsid w:val="004A3E86"/>
    <w:rsid w:val="004A601A"/>
    <w:rsid w:val="004A6BA1"/>
    <w:rsid w:val="004A7D7F"/>
    <w:rsid w:val="004B0A4B"/>
    <w:rsid w:val="004B1F60"/>
    <w:rsid w:val="004B2B44"/>
    <w:rsid w:val="004B309F"/>
    <w:rsid w:val="004B4B6E"/>
    <w:rsid w:val="004B545D"/>
    <w:rsid w:val="004B7290"/>
    <w:rsid w:val="004C1801"/>
    <w:rsid w:val="004C1D5B"/>
    <w:rsid w:val="004C20C8"/>
    <w:rsid w:val="004C5EF9"/>
    <w:rsid w:val="004C6898"/>
    <w:rsid w:val="004C6A68"/>
    <w:rsid w:val="004C7317"/>
    <w:rsid w:val="004C74B7"/>
    <w:rsid w:val="004D02AC"/>
    <w:rsid w:val="004D173F"/>
    <w:rsid w:val="004D3CA8"/>
    <w:rsid w:val="004D3F80"/>
    <w:rsid w:val="004D46D1"/>
    <w:rsid w:val="004D6CA7"/>
    <w:rsid w:val="004E12DB"/>
    <w:rsid w:val="004E26F3"/>
    <w:rsid w:val="004E2771"/>
    <w:rsid w:val="004E330B"/>
    <w:rsid w:val="004E60F0"/>
    <w:rsid w:val="004F0124"/>
    <w:rsid w:val="004F03C7"/>
    <w:rsid w:val="004F14FC"/>
    <w:rsid w:val="004F224E"/>
    <w:rsid w:val="004F2C3F"/>
    <w:rsid w:val="004F411C"/>
    <w:rsid w:val="004F6F98"/>
    <w:rsid w:val="004F7C74"/>
    <w:rsid w:val="004F7FCD"/>
    <w:rsid w:val="00500711"/>
    <w:rsid w:val="00501B6F"/>
    <w:rsid w:val="00502FA7"/>
    <w:rsid w:val="0050319C"/>
    <w:rsid w:val="0050448E"/>
    <w:rsid w:val="00504706"/>
    <w:rsid w:val="0050535D"/>
    <w:rsid w:val="005054C5"/>
    <w:rsid w:val="005074E8"/>
    <w:rsid w:val="00510076"/>
    <w:rsid w:val="00510791"/>
    <w:rsid w:val="00510DD0"/>
    <w:rsid w:val="00513920"/>
    <w:rsid w:val="005156B5"/>
    <w:rsid w:val="00515B76"/>
    <w:rsid w:val="00515CC5"/>
    <w:rsid w:val="0051766D"/>
    <w:rsid w:val="005201E6"/>
    <w:rsid w:val="005221E3"/>
    <w:rsid w:val="00522E53"/>
    <w:rsid w:val="005240ED"/>
    <w:rsid w:val="005244DD"/>
    <w:rsid w:val="005260B8"/>
    <w:rsid w:val="0052626F"/>
    <w:rsid w:val="00526D29"/>
    <w:rsid w:val="005301DD"/>
    <w:rsid w:val="00531A8A"/>
    <w:rsid w:val="0053255F"/>
    <w:rsid w:val="00534EBB"/>
    <w:rsid w:val="00535D94"/>
    <w:rsid w:val="005366A4"/>
    <w:rsid w:val="00536817"/>
    <w:rsid w:val="00537968"/>
    <w:rsid w:val="00540D2B"/>
    <w:rsid w:val="0054344E"/>
    <w:rsid w:val="005435C0"/>
    <w:rsid w:val="005438B7"/>
    <w:rsid w:val="00543ADA"/>
    <w:rsid w:val="00543B3C"/>
    <w:rsid w:val="00543EE2"/>
    <w:rsid w:val="005441FB"/>
    <w:rsid w:val="0054496D"/>
    <w:rsid w:val="005461DE"/>
    <w:rsid w:val="00550713"/>
    <w:rsid w:val="00550C72"/>
    <w:rsid w:val="0055149B"/>
    <w:rsid w:val="0055496D"/>
    <w:rsid w:val="005569C4"/>
    <w:rsid w:val="0055784B"/>
    <w:rsid w:val="005601B0"/>
    <w:rsid w:val="0056033B"/>
    <w:rsid w:val="0056218E"/>
    <w:rsid w:val="0056236B"/>
    <w:rsid w:val="005629C5"/>
    <w:rsid w:val="005640B0"/>
    <w:rsid w:val="005642B8"/>
    <w:rsid w:val="00565874"/>
    <w:rsid w:val="00565F35"/>
    <w:rsid w:val="00566794"/>
    <w:rsid w:val="00566C07"/>
    <w:rsid w:val="00570D35"/>
    <w:rsid w:val="0057509A"/>
    <w:rsid w:val="0057601E"/>
    <w:rsid w:val="00577252"/>
    <w:rsid w:val="00577F55"/>
    <w:rsid w:val="00580879"/>
    <w:rsid w:val="00580BCB"/>
    <w:rsid w:val="00580C59"/>
    <w:rsid w:val="005816AD"/>
    <w:rsid w:val="00581BEF"/>
    <w:rsid w:val="00581E64"/>
    <w:rsid w:val="00584F04"/>
    <w:rsid w:val="0058598B"/>
    <w:rsid w:val="00585A16"/>
    <w:rsid w:val="00585FDF"/>
    <w:rsid w:val="00586728"/>
    <w:rsid w:val="0058757E"/>
    <w:rsid w:val="00587707"/>
    <w:rsid w:val="005904E8"/>
    <w:rsid w:val="00590A03"/>
    <w:rsid w:val="00590D6A"/>
    <w:rsid w:val="00590F38"/>
    <w:rsid w:val="00593C22"/>
    <w:rsid w:val="00593DEB"/>
    <w:rsid w:val="005946C6"/>
    <w:rsid w:val="00594A9E"/>
    <w:rsid w:val="005958AE"/>
    <w:rsid w:val="00595D0B"/>
    <w:rsid w:val="00596939"/>
    <w:rsid w:val="0059715A"/>
    <w:rsid w:val="0059743E"/>
    <w:rsid w:val="00597AFC"/>
    <w:rsid w:val="005A005D"/>
    <w:rsid w:val="005A007E"/>
    <w:rsid w:val="005A04C9"/>
    <w:rsid w:val="005A0F96"/>
    <w:rsid w:val="005A11D5"/>
    <w:rsid w:val="005A1A1A"/>
    <w:rsid w:val="005A1CB2"/>
    <w:rsid w:val="005A1D08"/>
    <w:rsid w:val="005A282B"/>
    <w:rsid w:val="005A28A5"/>
    <w:rsid w:val="005A3AF2"/>
    <w:rsid w:val="005A4C7F"/>
    <w:rsid w:val="005A5347"/>
    <w:rsid w:val="005A5A6B"/>
    <w:rsid w:val="005A5A72"/>
    <w:rsid w:val="005A5A74"/>
    <w:rsid w:val="005A5D09"/>
    <w:rsid w:val="005A7669"/>
    <w:rsid w:val="005B1746"/>
    <w:rsid w:val="005B1B1F"/>
    <w:rsid w:val="005B254A"/>
    <w:rsid w:val="005B3604"/>
    <w:rsid w:val="005B36C3"/>
    <w:rsid w:val="005B37E4"/>
    <w:rsid w:val="005B42D1"/>
    <w:rsid w:val="005B5644"/>
    <w:rsid w:val="005B5806"/>
    <w:rsid w:val="005B6F37"/>
    <w:rsid w:val="005B7297"/>
    <w:rsid w:val="005C3547"/>
    <w:rsid w:val="005C487A"/>
    <w:rsid w:val="005C7DFB"/>
    <w:rsid w:val="005D046B"/>
    <w:rsid w:val="005D0BE2"/>
    <w:rsid w:val="005D35F8"/>
    <w:rsid w:val="005D3EBE"/>
    <w:rsid w:val="005D5398"/>
    <w:rsid w:val="005D557B"/>
    <w:rsid w:val="005D5720"/>
    <w:rsid w:val="005D6ADE"/>
    <w:rsid w:val="005D752D"/>
    <w:rsid w:val="005E0ED7"/>
    <w:rsid w:val="005E22D6"/>
    <w:rsid w:val="005E2BC9"/>
    <w:rsid w:val="005E4129"/>
    <w:rsid w:val="005E4A4C"/>
    <w:rsid w:val="005E4A5A"/>
    <w:rsid w:val="005E6B19"/>
    <w:rsid w:val="005E78C1"/>
    <w:rsid w:val="005F0DCE"/>
    <w:rsid w:val="005F1BA8"/>
    <w:rsid w:val="005F3550"/>
    <w:rsid w:val="005F4095"/>
    <w:rsid w:val="005F5385"/>
    <w:rsid w:val="006004BB"/>
    <w:rsid w:val="0060212B"/>
    <w:rsid w:val="00602BEF"/>
    <w:rsid w:val="006032E2"/>
    <w:rsid w:val="00603ABD"/>
    <w:rsid w:val="006053A0"/>
    <w:rsid w:val="00605535"/>
    <w:rsid w:val="006056BB"/>
    <w:rsid w:val="006070B6"/>
    <w:rsid w:val="00607786"/>
    <w:rsid w:val="00607AD5"/>
    <w:rsid w:val="00607D00"/>
    <w:rsid w:val="00611A10"/>
    <w:rsid w:val="00611FB6"/>
    <w:rsid w:val="00612AD5"/>
    <w:rsid w:val="00614310"/>
    <w:rsid w:val="00614923"/>
    <w:rsid w:val="006150E4"/>
    <w:rsid w:val="00616D9B"/>
    <w:rsid w:val="0061730F"/>
    <w:rsid w:val="0061741C"/>
    <w:rsid w:val="00620AE4"/>
    <w:rsid w:val="00620FDC"/>
    <w:rsid w:val="00622CD9"/>
    <w:rsid w:val="0062327F"/>
    <w:rsid w:val="00625F88"/>
    <w:rsid w:val="00627B4F"/>
    <w:rsid w:val="006307A9"/>
    <w:rsid w:val="00630E50"/>
    <w:rsid w:val="00631677"/>
    <w:rsid w:val="0063272D"/>
    <w:rsid w:val="00633359"/>
    <w:rsid w:val="006343A4"/>
    <w:rsid w:val="0063519E"/>
    <w:rsid w:val="00636B58"/>
    <w:rsid w:val="006375EB"/>
    <w:rsid w:val="0064064A"/>
    <w:rsid w:val="00641C2D"/>
    <w:rsid w:val="0064218D"/>
    <w:rsid w:val="00642BA4"/>
    <w:rsid w:val="00644865"/>
    <w:rsid w:val="00645AAC"/>
    <w:rsid w:val="0064631A"/>
    <w:rsid w:val="006516AB"/>
    <w:rsid w:val="00651969"/>
    <w:rsid w:val="00652188"/>
    <w:rsid w:val="0065269D"/>
    <w:rsid w:val="006564DA"/>
    <w:rsid w:val="00656F36"/>
    <w:rsid w:val="00661CE9"/>
    <w:rsid w:val="00662068"/>
    <w:rsid w:val="006627F3"/>
    <w:rsid w:val="00663339"/>
    <w:rsid w:val="00664B41"/>
    <w:rsid w:val="006702EE"/>
    <w:rsid w:val="00673396"/>
    <w:rsid w:val="00674E8E"/>
    <w:rsid w:val="00675A00"/>
    <w:rsid w:val="00676652"/>
    <w:rsid w:val="006769B7"/>
    <w:rsid w:val="0068097C"/>
    <w:rsid w:val="00680B43"/>
    <w:rsid w:val="0068399A"/>
    <w:rsid w:val="006934A0"/>
    <w:rsid w:val="00693FC6"/>
    <w:rsid w:val="00694E36"/>
    <w:rsid w:val="006955F1"/>
    <w:rsid w:val="00697D9B"/>
    <w:rsid w:val="006A0041"/>
    <w:rsid w:val="006A09D9"/>
    <w:rsid w:val="006A0EFB"/>
    <w:rsid w:val="006A4AB9"/>
    <w:rsid w:val="006A52C0"/>
    <w:rsid w:val="006A56BF"/>
    <w:rsid w:val="006A60F4"/>
    <w:rsid w:val="006A6211"/>
    <w:rsid w:val="006A6BBE"/>
    <w:rsid w:val="006A7702"/>
    <w:rsid w:val="006B179E"/>
    <w:rsid w:val="006B181E"/>
    <w:rsid w:val="006B1968"/>
    <w:rsid w:val="006B1FA7"/>
    <w:rsid w:val="006B2EE4"/>
    <w:rsid w:val="006B5F7A"/>
    <w:rsid w:val="006B6335"/>
    <w:rsid w:val="006C208B"/>
    <w:rsid w:val="006C2B33"/>
    <w:rsid w:val="006C4308"/>
    <w:rsid w:val="006C5030"/>
    <w:rsid w:val="006C6868"/>
    <w:rsid w:val="006C69C6"/>
    <w:rsid w:val="006C6BF3"/>
    <w:rsid w:val="006C73E4"/>
    <w:rsid w:val="006C7670"/>
    <w:rsid w:val="006C78FF"/>
    <w:rsid w:val="006D0272"/>
    <w:rsid w:val="006D2406"/>
    <w:rsid w:val="006D3059"/>
    <w:rsid w:val="006D3400"/>
    <w:rsid w:val="006D37D3"/>
    <w:rsid w:val="006D56F9"/>
    <w:rsid w:val="006D581F"/>
    <w:rsid w:val="006D74DD"/>
    <w:rsid w:val="006E0C63"/>
    <w:rsid w:val="006E2307"/>
    <w:rsid w:val="006E2EDB"/>
    <w:rsid w:val="006E3489"/>
    <w:rsid w:val="006E3B42"/>
    <w:rsid w:val="006E7C80"/>
    <w:rsid w:val="006E7FD6"/>
    <w:rsid w:val="006F1582"/>
    <w:rsid w:val="006F17F2"/>
    <w:rsid w:val="006F2336"/>
    <w:rsid w:val="006F2BBE"/>
    <w:rsid w:val="006F2E15"/>
    <w:rsid w:val="006F327F"/>
    <w:rsid w:val="006F4E2D"/>
    <w:rsid w:val="006F5DAF"/>
    <w:rsid w:val="006F65A1"/>
    <w:rsid w:val="006F673A"/>
    <w:rsid w:val="00701B5A"/>
    <w:rsid w:val="00701E72"/>
    <w:rsid w:val="007027E0"/>
    <w:rsid w:val="0070285E"/>
    <w:rsid w:val="007029F0"/>
    <w:rsid w:val="00702FFD"/>
    <w:rsid w:val="00704728"/>
    <w:rsid w:val="0070667C"/>
    <w:rsid w:val="00707CAE"/>
    <w:rsid w:val="00710028"/>
    <w:rsid w:val="00710231"/>
    <w:rsid w:val="00710611"/>
    <w:rsid w:val="00710758"/>
    <w:rsid w:val="0071152F"/>
    <w:rsid w:val="00713CBD"/>
    <w:rsid w:val="00714889"/>
    <w:rsid w:val="00714D88"/>
    <w:rsid w:val="007157A7"/>
    <w:rsid w:val="00715907"/>
    <w:rsid w:val="00715D78"/>
    <w:rsid w:val="00716C67"/>
    <w:rsid w:val="0071732A"/>
    <w:rsid w:val="007217C3"/>
    <w:rsid w:val="00723531"/>
    <w:rsid w:val="00723CEF"/>
    <w:rsid w:val="00725621"/>
    <w:rsid w:val="00726C98"/>
    <w:rsid w:val="00730292"/>
    <w:rsid w:val="00730FAC"/>
    <w:rsid w:val="00731E30"/>
    <w:rsid w:val="00733446"/>
    <w:rsid w:val="00733A7B"/>
    <w:rsid w:val="00733BA0"/>
    <w:rsid w:val="00734CF8"/>
    <w:rsid w:val="00734F6C"/>
    <w:rsid w:val="0073574B"/>
    <w:rsid w:val="007357D6"/>
    <w:rsid w:val="007360B7"/>
    <w:rsid w:val="00736E27"/>
    <w:rsid w:val="007378F2"/>
    <w:rsid w:val="00740753"/>
    <w:rsid w:val="00741AC9"/>
    <w:rsid w:val="0074239E"/>
    <w:rsid w:val="0074493D"/>
    <w:rsid w:val="0074694A"/>
    <w:rsid w:val="0074701C"/>
    <w:rsid w:val="00747750"/>
    <w:rsid w:val="00747775"/>
    <w:rsid w:val="007500E8"/>
    <w:rsid w:val="00751316"/>
    <w:rsid w:val="00752F69"/>
    <w:rsid w:val="0075317E"/>
    <w:rsid w:val="00753336"/>
    <w:rsid w:val="0075471D"/>
    <w:rsid w:val="00755077"/>
    <w:rsid w:val="00755DAF"/>
    <w:rsid w:val="0075760F"/>
    <w:rsid w:val="007601DB"/>
    <w:rsid w:val="0076316A"/>
    <w:rsid w:val="007642A6"/>
    <w:rsid w:val="00764E90"/>
    <w:rsid w:val="007657BA"/>
    <w:rsid w:val="00766B32"/>
    <w:rsid w:val="0076710A"/>
    <w:rsid w:val="00770131"/>
    <w:rsid w:val="00770859"/>
    <w:rsid w:val="0077091D"/>
    <w:rsid w:val="00771CB9"/>
    <w:rsid w:val="00771FD4"/>
    <w:rsid w:val="0077210A"/>
    <w:rsid w:val="00774932"/>
    <w:rsid w:val="00774C1D"/>
    <w:rsid w:val="00775099"/>
    <w:rsid w:val="007754A5"/>
    <w:rsid w:val="007755DF"/>
    <w:rsid w:val="00780853"/>
    <w:rsid w:val="0078142E"/>
    <w:rsid w:val="00782898"/>
    <w:rsid w:val="007859F3"/>
    <w:rsid w:val="00787568"/>
    <w:rsid w:val="00787C5B"/>
    <w:rsid w:val="007911F3"/>
    <w:rsid w:val="00792473"/>
    <w:rsid w:val="00792822"/>
    <w:rsid w:val="0079333E"/>
    <w:rsid w:val="007933BB"/>
    <w:rsid w:val="007938B9"/>
    <w:rsid w:val="0079497F"/>
    <w:rsid w:val="007956EE"/>
    <w:rsid w:val="007974F7"/>
    <w:rsid w:val="00797EAD"/>
    <w:rsid w:val="007A08FF"/>
    <w:rsid w:val="007A1B9E"/>
    <w:rsid w:val="007A22A2"/>
    <w:rsid w:val="007A3082"/>
    <w:rsid w:val="007A4C46"/>
    <w:rsid w:val="007A52A4"/>
    <w:rsid w:val="007A6147"/>
    <w:rsid w:val="007A625D"/>
    <w:rsid w:val="007B0102"/>
    <w:rsid w:val="007B07C0"/>
    <w:rsid w:val="007B16AF"/>
    <w:rsid w:val="007B1933"/>
    <w:rsid w:val="007B27D5"/>
    <w:rsid w:val="007B4287"/>
    <w:rsid w:val="007B5FCB"/>
    <w:rsid w:val="007B65FD"/>
    <w:rsid w:val="007B76A2"/>
    <w:rsid w:val="007C11BA"/>
    <w:rsid w:val="007C198C"/>
    <w:rsid w:val="007C272A"/>
    <w:rsid w:val="007C2EE3"/>
    <w:rsid w:val="007C478A"/>
    <w:rsid w:val="007C4FE7"/>
    <w:rsid w:val="007C4FFA"/>
    <w:rsid w:val="007C5B0F"/>
    <w:rsid w:val="007C6849"/>
    <w:rsid w:val="007D0503"/>
    <w:rsid w:val="007D0F64"/>
    <w:rsid w:val="007D10D9"/>
    <w:rsid w:val="007D1E11"/>
    <w:rsid w:val="007D1F65"/>
    <w:rsid w:val="007D265E"/>
    <w:rsid w:val="007D55E5"/>
    <w:rsid w:val="007D6965"/>
    <w:rsid w:val="007D7181"/>
    <w:rsid w:val="007D7D19"/>
    <w:rsid w:val="007E3D93"/>
    <w:rsid w:val="007E3DF8"/>
    <w:rsid w:val="007E436D"/>
    <w:rsid w:val="007E4F57"/>
    <w:rsid w:val="007E5364"/>
    <w:rsid w:val="007E5B03"/>
    <w:rsid w:val="007E76EE"/>
    <w:rsid w:val="007F191D"/>
    <w:rsid w:val="007F28C6"/>
    <w:rsid w:val="007F2F50"/>
    <w:rsid w:val="007F48B9"/>
    <w:rsid w:val="007F5855"/>
    <w:rsid w:val="007F680C"/>
    <w:rsid w:val="007F6AC8"/>
    <w:rsid w:val="007F7851"/>
    <w:rsid w:val="008004C1"/>
    <w:rsid w:val="00800D32"/>
    <w:rsid w:val="008035E8"/>
    <w:rsid w:val="008036D2"/>
    <w:rsid w:val="008039FA"/>
    <w:rsid w:val="00803D5C"/>
    <w:rsid w:val="00804E4C"/>
    <w:rsid w:val="00804F62"/>
    <w:rsid w:val="00806BC9"/>
    <w:rsid w:val="0080791B"/>
    <w:rsid w:val="00811871"/>
    <w:rsid w:val="008136BE"/>
    <w:rsid w:val="00813A4B"/>
    <w:rsid w:val="00814459"/>
    <w:rsid w:val="00817A45"/>
    <w:rsid w:val="00817F8E"/>
    <w:rsid w:val="00821A23"/>
    <w:rsid w:val="00821EA1"/>
    <w:rsid w:val="00823393"/>
    <w:rsid w:val="00823E59"/>
    <w:rsid w:val="0082424E"/>
    <w:rsid w:val="00825173"/>
    <w:rsid w:val="00825605"/>
    <w:rsid w:val="00825665"/>
    <w:rsid w:val="00825F9C"/>
    <w:rsid w:val="008310F4"/>
    <w:rsid w:val="008318D4"/>
    <w:rsid w:val="00832540"/>
    <w:rsid w:val="0083374F"/>
    <w:rsid w:val="00835A60"/>
    <w:rsid w:val="008364D0"/>
    <w:rsid w:val="0083668D"/>
    <w:rsid w:val="00836ACD"/>
    <w:rsid w:val="00836D3B"/>
    <w:rsid w:val="00840FBD"/>
    <w:rsid w:val="008429B0"/>
    <w:rsid w:val="00843801"/>
    <w:rsid w:val="00845DB5"/>
    <w:rsid w:val="00846C76"/>
    <w:rsid w:val="008470D0"/>
    <w:rsid w:val="00847AAB"/>
    <w:rsid w:val="00852D02"/>
    <w:rsid w:val="008535F1"/>
    <w:rsid w:val="00853FF3"/>
    <w:rsid w:val="0085489D"/>
    <w:rsid w:val="00854CD7"/>
    <w:rsid w:val="00855445"/>
    <w:rsid w:val="00860416"/>
    <w:rsid w:val="00860EC1"/>
    <w:rsid w:val="00860F0D"/>
    <w:rsid w:val="008615AA"/>
    <w:rsid w:val="00863984"/>
    <w:rsid w:val="00864DEC"/>
    <w:rsid w:val="00865073"/>
    <w:rsid w:val="008653E6"/>
    <w:rsid w:val="00865851"/>
    <w:rsid w:val="00866EF9"/>
    <w:rsid w:val="0087025C"/>
    <w:rsid w:val="0087065C"/>
    <w:rsid w:val="0087193C"/>
    <w:rsid w:val="00871DAD"/>
    <w:rsid w:val="00872E85"/>
    <w:rsid w:val="00873C08"/>
    <w:rsid w:val="00875325"/>
    <w:rsid w:val="008759CA"/>
    <w:rsid w:val="00876046"/>
    <w:rsid w:val="008778ED"/>
    <w:rsid w:val="008818C9"/>
    <w:rsid w:val="008828A6"/>
    <w:rsid w:val="008831D8"/>
    <w:rsid w:val="008838EF"/>
    <w:rsid w:val="00883CE8"/>
    <w:rsid w:val="0088473E"/>
    <w:rsid w:val="00884C21"/>
    <w:rsid w:val="00884D6B"/>
    <w:rsid w:val="00884E54"/>
    <w:rsid w:val="00885222"/>
    <w:rsid w:val="008852B0"/>
    <w:rsid w:val="0088652E"/>
    <w:rsid w:val="0088699F"/>
    <w:rsid w:val="008905F9"/>
    <w:rsid w:val="00892B54"/>
    <w:rsid w:val="0089418B"/>
    <w:rsid w:val="0089421A"/>
    <w:rsid w:val="008943CC"/>
    <w:rsid w:val="00895871"/>
    <w:rsid w:val="0089591F"/>
    <w:rsid w:val="008A00F6"/>
    <w:rsid w:val="008A1567"/>
    <w:rsid w:val="008A3BC5"/>
    <w:rsid w:val="008A3D7F"/>
    <w:rsid w:val="008A4B69"/>
    <w:rsid w:val="008A5482"/>
    <w:rsid w:val="008A5759"/>
    <w:rsid w:val="008A58CE"/>
    <w:rsid w:val="008A6D15"/>
    <w:rsid w:val="008A6D3F"/>
    <w:rsid w:val="008A756C"/>
    <w:rsid w:val="008A7A73"/>
    <w:rsid w:val="008B122C"/>
    <w:rsid w:val="008B13DB"/>
    <w:rsid w:val="008B3A1D"/>
    <w:rsid w:val="008B4583"/>
    <w:rsid w:val="008B50D6"/>
    <w:rsid w:val="008B5A44"/>
    <w:rsid w:val="008B7EEE"/>
    <w:rsid w:val="008C06AA"/>
    <w:rsid w:val="008C137F"/>
    <w:rsid w:val="008C2693"/>
    <w:rsid w:val="008C2C5C"/>
    <w:rsid w:val="008C3D54"/>
    <w:rsid w:val="008C5566"/>
    <w:rsid w:val="008D0DA2"/>
    <w:rsid w:val="008D32AA"/>
    <w:rsid w:val="008D36D3"/>
    <w:rsid w:val="008D3DB6"/>
    <w:rsid w:val="008D54CD"/>
    <w:rsid w:val="008E0B0F"/>
    <w:rsid w:val="008E0DA8"/>
    <w:rsid w:val="008E0DB7"/>
    <w:rsid w:val="008E1582"/>
    <w:rsid w:val="008E3872"/>
    <w:rsid w:val="008E4F9B"/>
    <w:rsid w:val="008E756F"/>
    <w:rsid w:val="008E7D5B"/>
    <w:rsid w:val="008F0783"/>
    <w:rsid w:val="008F1040"/>
    <w:rsid w:val="008F1DD0"/>
    <w:rsid w:val="008F4F74"/>
    <w:rsid w:val="008F5FAE"/>
    <w:rsid w:val="008F6A65"/>
    <w:rsid w:val="008F7745"/>
    <w:rsid w:val="00900509"/>
    <w:rsid w:val="00901857"/>
    <w:rsid w:val="0090210C"/>
    <w:rsid w:val="009026BD"/>
    <w:rsid w:val="00904B85"/>
    <w:rsid w:val="00904C03"/>
    <w:rsid w:val="00905BD5"/>
    <w:rsid w:val="00905DB4"/>
    <w:rsid w:val="0090632F"/>
    <w:rsid w:val="00910579"/>
    <w:rsid w:val="00910CA2"/>
    <w:rsid w:val="00910D0A"/>
    <w:rsid w:val="00910F49"/>
    <w:rsid w:val="00911635"/>
    <w:rsid w:val="009119BF"/>
    <w:rsid w:val="00912749"/>
    <w:rsid w:val="00913965"/>
    <w:rsid w:val="009147D0"/>
    <w:rsid w:val="00914D29"/>
    <w:rsid w:val="009178CD"/>
    <w:rsid w:val="00920AE6"/>
    <w:rsid w:val="00921520"/>
    <w:rsid w:val="0092238B"/>
    <w:rsid w:val="009227AB"/>
    <w:rsid w:val="009262C8"/>
    <w:rsid w:val="00926351"/>
    <w:rsid w:val="00927596"/>
    <w:rsid w:val="00930A7D"/>
    <w:rsid w:val="00932535"/>
    <w:rsid w:val="00932D24"/>
    <w:rsid w:val="0093301B"/>
    <w:rsid w:val="00934074"/>
    <w:rsid w:val="00934441"/>
    <w:rsid w:val="00934DAB"/>
    <w:rsid w:val="00935C56"/>
    <w:rsid w:val="00935C94"/>
    <w:rsid w:val="00936FF3"/>
    <w:rsid w:val="00937FFA"/>
    <w:rsid w:val="00940045"/>
    <w:rsid w:val="009430AE"/>
    <w:rsid w:val="0094577A"/>
    <w:rsid w:val="009458D3"/>
    <w:rsid w:val="00951D23"/>
    <w:rsid w:val="00953CA5"/>
    <w:rsid w:val="00955379"/>
    <w:rsid w:val="009570EF"/>
    <w:rsid w:val="009571CC"/>
    <w:rsid w:val="009603AF"/>
    <w:rsid w:val="00961302"/>
    <w:rsid w:val="00961C7C"/>
    <w:rsid w:val="00964B6B"/>
    <w:rsid w:val="00965900"/>
    <w:rsid w:val="00967118"/>
    <w:rsid w:val="00967A3D"/>
    <w:rsid w:val="009701FD"/>
    <w:rsid w:val="009704A9"/>
    <w:rsid w:val="009747E3"/>
    <w:rsid w:val="009763CF"/>
    <w:rsid w:val="00976AC6"/>
    <w:rsid w:val="009803BB"/>
    <w:rsid w:val="00981CC9"/>
    <w:rsid w:val="00981FEA"/>
    <w:rsid w:val="00982699"/>
    <w:rsid w:val="00983DEE"/>
    <w:rsid w:val="0098599F"/>
    <w:rsid w:val="00985EDC"/>
    <w:rsid w:val="00986C33"/>
    <w:rsid w:val="00991839"/>
    <w:rsid w:val="00993809"/>
    <w:rsid w:val="009944EC"/>
    <w:rsid w:val="00994B28"/>
    <w:rsid w:val="009951BD"/>
    <w:rsid w:val="00996995"/>
    <w:rsid w:val="0099781C"/>
    <w:rsid w:val="009A1564"/>
    <w:rsid w:val="009A1E58"/>
    <w:rsid w:val="009A50E0"/>
    <w:rsid w:val="009A5BED"/>
    <w:rsid w:val="009A60B7"/>
    <w:rsid w:val="009A6BBA"/>
    <w:rsid w:val="009A7921"/>
    <w:rsid w:val="009A7E66"/>
    <w:rsid w:val="009B1473"/>
    <w:rsid w:val="009B1644"/>
    <w:rsid w:val="009B1846"/>
    <w:rsid w:val="009B2220"/>
    <w:rsid w:val="009B4702"/>
    <w:rsid w:val="009B4704"/>
    <w:rsid w:val="009B5270"/>
    <w:rsid w:val="009B5835"/>
    <w:rsid w:val="009B6076"/>
    <w:rsid w:val="009B6E6F"/>
    <w:rsid w:val="009B7F74"/>
    <w:rsid w:val="009C0522"/>
    <w:rsid w:val="009C0847"/>
    <w:rsid w:val="009C12D8"/>
    <w:rsid w:val="009C2365"/>
    <w:rsid w:val="009C2C98"/>
    <w:rsid w:val="009C3FA1"/>
    <w:rsid w:val="009C4FBF"/>
    <w:rsid w:val="009C50FC"/>
    <w:rsid w:val="009C6A77"/>
    <w:rsid w:val="009C718E"/>
    <w:rsid w:val="009D0851"/>
    <w:rsid w:val="009D09F3"/>
    <w:rsid w:val="009D1BBA"/>
    <w:rsid w:val="009D3E5F"/>
    <w:rsid w:val="009D465A"/>
    <w:rsid w:val="009D4AAF"/>
    <w:rsid w:val="009D4E44"/>
    <w:rsid w:val="009D4FF2"/>
    <w:rsid w:val="009D6437"/>
    <w:rsid w:val="009D6BC7"/>
    <w:rsid w:val="009D728A"/>
    <w:rsid w:val="009E016C"/>
    <w:rsid w:val="009E20E0"/>
    <w:rsid w:val="009E24C8"/>
    <w:rsid w:val="009E294E"/>
    <w:rsid w:val="009E6B62"/>
    <w:rsid w:val="009E6DD0"/>
    <w:rsid w:val="009E6F09"/>
    <w:rsid w:val="009E71BE"/>
    <w:rsid w:val="009F29C0"/>
    <w:rsid w:val="009F3A69"/>
    <w:rsid w:val="009F4573"/>
    <w:rsid w:val="009F4D18"/>
    <w:rsid w:val="009F4EED"/>
    <w:rsid w:val="009F566D"/>
    <w:rsid w:val="009F760C"/>
    <w:rsid w:val="009F7A65"/>
    <w:rsid w:val="009F7FDA"/>
    <w:rsid w:val="00A02EF2"/>
    <w:rsid w:val="00A060C8"/>
    <w:rsid w:val="00A11751"/>
    <w:rsid w:val="00A11D2F"/>
    <w:rsid w:val="00A141CB"/>
    <w:rsid w:val="00A14B1B"/>
    <w:rsid w:val="00A16435"/>
    <w:rsid w:val="00A16A2A"/>
    <w:rsid w:val="00A17727"/>
    <w:rsid w:val="00A22171"/>
    <w:rsid w:val="00A227A5"/>
    <w:rsid w:val="00A227C9"/>
    <w:rsid w:val="00A231B5"/>
    <w:rsid w:val="00A239B7"/>
    <w:rsid w:val="00A2636F"/>
    <w:rsid w:val="00A30BBC"/>
    <w:rsid w:val="00A3198D"/>
    <w:rsid w:val="00A31F07"/>
    <w:rsid w:val="00A32180"/>
    <w:rsid w:val="00A328D5"/>
    <w:rsid w:val="00A32EB5"/>
    <w:rsid w:val="00A33962"/>
    <w:rsid w:val="00A34E00"/>
    <w:rsid w:val="00A37A16"/>
    <w:rsid w:val="00A40375"/>
    <w:rsid w:val="00A40827"/>
    <w:rsid w:val="00A421F0"/>
    <w:rsid w:val="00A42D78"/>
    <w:rsid w:val="00A43C59"/>
    <w:rsid w:val="00A45CBB"/>
    <w:rsid w:val="00A46C1A"/>
    <w:rsid w:val="00A46D15"/>
    <w:rsid w:val="00A46E17"/>
    <w:rsid w:val="00A50062"/>
    <w:rsid w:val="00A5340A"/>
    <w:rsid w:val="00A53542"/>
    <w:rsid w:val="00A54F80"/>
    <w:rsid w:val="00A55B6D"/>
    <w:rsid w:val="00A57832"/>
    <w:rsid w:val="00A57B57"/>
    <w:rsid w:val="00A6011F"/>
    <w:rsid w:val="00A6013E"/>
    <w:rsid w:val="00A6068C"/>
    <w:rsid w:val="00A616F6"/>
    <w:rsid w:val="00A621E7"/>
    <w:rsid w:val="00A6300E"/>
    <w:rsid w:val="00A63D59"/>
    <w:rsid w:val="00A64A6A"/>
    <w:rsid w:val="00A65213"/>
    <w:rsid w:val="00A65342"/>
    <w:rsid w:val="00A65380"/>
    <w:rsid w:val="00A700FC"/>
    <w:rsid w:val="00A71B74"/>
    <w:rsid w:val="00A71D7C"/>
    <w:rsid w:val="00A72AFD"/>
    <w:rsid w:val="00A80837"/>
    <w:rsid w:val="00A824F1"/>
    <w:rsid w:val="00A847CA"/>
    <w:rsid w:val="00A86FC1"/>
    <w:rsid w:val="00A90A3B"/>
    <w:rsid w:val="00A9134B"/>
    <w:rsid w:val="00A91726"/>
    <w:rsid w:val="00A93168"/>
    <w:rsid w:val="00A94705"/>
    <w:rsid w:val="00A9546F"/>
    <w:rsid w:val="00A95CE6"/>
    <w:rsid w:val="00A95E55"/>
    <w:rsid w:val="00AA08C9"/>
    <w:rsid w:val="00AA13BB"/>
    <w:rsid w:val="00AA26F7"/>
    <w:rsid w:val="00AA30B8"/>
    <w:rsid w:val="00AA3DEE"/>
    <w:rsid w:val="00AA45F1"/>
    <w:rsid w:val="00AA4856"/>
    <w:rsid w:val="00AA56A1"/>
    <w:rsid w:val="00AB0F3F"/>
    <w:rsid w:val="00AB1729"/>
    <w:rsid w:val="00AB1EB6"/>
    <w:rsid w:val="00AB26CF"/>
    <w:rsid w:val="00AB41C4"/>
    <w:rsid w:val="00AB4F80"/>
    <w:rsid w:val="00AB68F0"/>
    <w:rsid w:val="00AB7A49"/>
    <w:rsid w:val="00AC30F7"/>
    <w:rsid w:val="00AC528C"/>
    <w:rsid w:val="00AC60CA"/>
    <w:rsid w:val="00AD016C"/>
    <w:rsid w:val="00AD32F5"/>
    <w:rsid w:val="00AD4497"/>
    <w:rsid w:val="00AD5AB6"/>
    <w:rsid w:val="00AD7B59"/>
    <w:rsid w:val="00AD7CE2"/>
    <w:rsid w:val="00AE1115"/>
    <w:rsid w:val="00AE128C"/>
    <w:rsid w:val="00AE1CB9"/>
    <w:rsid w:val="00AE1D08"/>
    <w:rsid w:val="00AE2E5E"/>
    <w:rsid w:val="00AE3156"/>
    <w:rsid w:val="00AE3882"/>
    <w:rsid w:val="00AE4898"/>
    <w:rsid w:val="00AE56AB"/>
    <w:rsid w:val="00AE7650"/>
    <w:rsid w:val="00AE7CAB"/>
    <w:rsid w:val="00AE7F0A"/>
    <w:rsid w:val="00AF0072"/>
    <w:rsid w:val="00AF10C0"/>
    <w:rsid w:val="00AF1D1D"/>
    <w:rsid w:val="00AF1EA9"/>
    <w:rsid w:val="00AF28E8"/>
    <w:rsid w:val="00AF339E"/>
    <w:rsid w:val="00AF556C"/>
    <w:rsid w:val="00AF5AD1"/>
    <w:rsid w:val="00AF5ECD"/>
    <w:rsid w:val="00AF7508"/>
    <w:rsid w:val="00AF7739"/>
    <w:rsid w:val="00AF7A9E"/>
    <w:rsid w:val="00B004D3"/>
    <w:rsid w:val="00B00CDD"/>
    <w:rsid w:val="00B02F05"/>
    <w:rsid w:val="00B030C1"/>
    <w:rsid w:val="00B04345"/>
    <w:rsid w:val="00B05121"/>
    <w:rsid w:val="00B0535C"/>
    <w:rsid w:val="00B05819"/>
    <w:rsid w:val="00B05E78"/>
    <w:rsid w:val="00B076F3"/>
    <w:rsid w:val="00B0781E"/>
    <w:rsid w:val="00B10637"/>
    <w:rsid w:val="00B12083"/>
    <w:rsid w:val="00B13B6A"/>
    <w:rsid w:val="00B147AA"/>
    <w:rsid w:val="00B14A22"/>
    <w:rsid w:val="00B14EC0"/>
    <w:rsid w:val="00B16219"/>
    <w:rsid w:val="00B1641C"/>
    <w:rsid w:val="00B17F8F"/>
    <w:rsid w:val="00B20768"/>
    <w:rsid w:val="00B21742"/>
    <w:rsid w:val="00B245F2"/>
    <w:rsid w:val="00B2567D"/>
    <w:rsid w:val="00B259EC"/>
    <w:rsid w:val="00B26299"/>
    <w:rsid w:val="00B26DDF"/>
    <w:rsid w:val="00B2764B"/>
    <w:rsid w:val="00B278D0"/>
    <w:rsid w:val="00B3019E"/>
    <w:rsid w:val="00B301CC"/>
    <w:rsid w:val="00B33F67"/>
    <w:rsid w:val="00B34B97"/>
    <w:rsid w:val="00B34DB6"/>
    <w:rsid w:val="00B35A59"/>
    <w:rsid w:val="00B35F39"/>
    <w:rsid w:val="00B37199"/>
    <w:rsid w:val="00B40251"/>
    <w:rsid w:val="00B41241"/>
    <w:rsid w:val="00B4164B"/>
    <w:rsid w:val="00B4229F"/>
    <w:rsid w:val="00B43E2A"/>
    <w:rsid w:val="00B43F05"/>
    <w:rsid w:val="00B4481A"/>
    <w:rsid w:val="00B453F5"/>
    <w:rsid w:val="00B46EF5"/>
    <w:rsid w:val="00B47887"/>
    <w:rsid w:val="00B507E7"/>
    <w:rsid w:val="00B52558"/>
    <w:rsid w:val="00B530B2"/>
    <w:rsid w:val="00B536BC"/>
    <w:rsid w:val="00B53D25"/>
    <w:rsid w:val="00B5426F"/>
    <w:rsid w:val="00B55B31"/>
    <w:rsid w:val="00B5669F"/>
    <w:rsid w:val="00B60378"/>
    <w:rsid w:val="00B611A5"/>
    <w:rsid w:val="00B6217D"/>
    <w:rsid w:val="00B62697"/>
    <w:rsid w:val="00B63757"/>
    <w:rsid w:val="00B644C5"/>
    <w:rsid w:val="00B64EE9"/>
    <w:rsid w:val="00B653B9"/>
    <w:rsid w:val="00B65C00"/>
    <w:rsid w:val="00B66E79"/>
    <w:rsid w:val="00B7233A"/>
    <w:rsid w:val="00B72813"/>
    <w:rsid w:val="00B73AF4"/>
    <w:rsid w:val="00B75343"/>
    <w:rsid w:val="00B7596F"/>
    <w:rsid w:val="00B761EE"/>
    <w:rsid w:val="00B77259"/>
    <w:rsid w:val="00B776C1"/>
    <w:rsid w:val="00B77B23"/>
    <w:rsid w:val="00B77C12"/>
    <w:rsid w:val="00B8029C"/>
    <w:rsid w:val="00B812A7"/>
    <w:rsid w:val="00B81FEE"/>
    <w:rsid w:val="00B82E6A"/>
    <w:rsid w:val="00B847C6"/>
    <w:rsid w:val="00B849C9"/>
    <w:rsid w:val="00B8564D"/>
    <w:rsid w:val="00B86886"/>
    <w:rsid w:val="00B877D3"/>
    <w:rsid w:val="00B87A01"/>
    <w:rsid w:val="00B87CB0"/>
    <w:rsid w:val="00B903D3"/>
    <w:rsid w:val="00B9348D"/>
    <w:rsid w:val="00B93F49"/>
    <w:rsid w:val="00B94ECA"/>
    <w:rsid w:val="00B962A0"/>
    <w:rsid w:val="00B97159"/>
    <w:rsid w:val="00BA0284"/>
    <w:rsid w:val="00BA0D6B"/>
    <w:rsid w:val="00BA107F"/>
    <w:rsid w:val="00BA2288"/>
    <w:rsid w:val="00BA28A6"/>
    <w:rsid w:val="00BA44B0"/>
    <w:rsid w:val="00BA486A"/>
    <w:rsid w:val="00BA52F9"/>
    <w:rsid w:val="00BA5CD8"/>
    <w:rsid w:val="00BA62B3"/>
    <w:rsid w:val="00BA7E0D"/>
    <w:rsid w:val="00BB0321"/>
    <w:rsid w:val="00BB1190"/>
    <w:rsid w:val="00BB186D"/>
    <w:rsid w:val="00BB1C2D"/>
    <w:rsid w:val="00BB322E"/>
    <w:rsid w:val="00BB3308"/>
    <w:rsid w:val="00BB333C"/>
    <w:rsid w:val="00BB3ABA"/>
    <w:rsid w:val="00BB5FF7"/>
    <w:rsid w:val="00BB736B"/>
    <w:rsid w:val="00BB7CFB"/>
    <w:rsid w:val="00BC0AAA"/>
    <w:rsid w:val="00BC0B9B"/>
    <w:rsid w:val="00BC14B3"/>
    <w:rsid w:val="00BC2AE9"/>
    <w:rsid w:val="00BC2BE5"/>
    <w:rsid w:val="00BC36D9"/>
    <w:rsid w:val="00BC37F3"/>
    <w:rsid w:val="00BC53D7"/>
    <w:rsid w:val="00BC55E9"/>
    <w:rsid w:val="00BC5D47"/>
    <w:rsid w:val="00BC6BBB"/>
    <w:rsid w:val="00BC7E59"/>
    <w:rsid w:val="00BD2C09"/>
    <w:rsid w:val="00BD2FE2"/>
    <w:rsid w:val="00BD34F9"/>
    <w:rsid w:val="00BD4BA5"/>
    <w:rsid w:val="00BD535C"/>
    <w:rsid w:val="00BD5DB5"/>
    <w:rsid w:val="00BD6782"/>
    <w:rsid w:val="00BD6F6C"/>
    <w:rsid w:val="00BD7B0C"/>
    <w:rsid w:val="00BE05E2"/>
    <w:rsid w:val="00BE0B29"/>
    <w:rsid w:val="00BE13D8"/>
    <w:rsid w:val="00BE1F78"/>
    <w:rsid w:val="00BE2DC3"/>
    <w:rsid w:val="00BE5126"/>
    <w:rsid w:val="00BE543A"/>
    <w:rsid w:val="00BE580E"/>
    <w:rsid w:val="00BE5D3C"/>
    <w:rsid w:val="00BE613F"/>
    <w:rsid w:val="00BE6CF0"/>
    <w:rsid w:val="00BE6DBE"/>
    <w:rsid w:val="00BF00BF"/>
    <w:rsid w:val="00BF00FA"/>
    <w:rsid w:val="00BF2B77"/>
    <w:rsid w:val="00BF2E3C"/>
    <w:rsid w:val="00BF439F"/>
    <w:rsid w:val="00BF443C"/>
    <w:rsid w:val="00BF49B2"/>
    <w:rsid w:val="00BF4B92"/>
    <w:rsid w:val="00BF5F39"/>
    <w:rsid w:val="00BF6625"/>
    <w:rsid w:val="00BF71C0"/>
    <w:rsid w:val="00BF7ABF"/>
    <w:rsid w:val="00C00420"/>
    <w:rsid w:val="00C00FD2"/>
    <w:rsid w:val="00C02519"/>
    <w:rsid w:val="00C0282C"/>
    <w:rsid w:val="00C029D2"/>
    <w:rsid w:val="00C04A69"/>
    <w:rsid w:val="00C07721"/>
    <w:rsid w:val="00C07A73"/>
    <w:rsid w:val="00C10EA5"/>
    <w:rsid w:val="00C136AB"/>
    <w:rsid w:val="00C14890"/>
    <w:rsid w:val="00C14BB7"/>
    <w:rsid w:val="00C16B33"/>
    <w:rsid w:val="00C1717A"/>
    <w:rsid w:val="00C20A61"/>
    <w:rsid w:val="00C21565"/>
    <w:rsid w:val="00C21E31"/>
    <w:rsid w:val="00C22D40"/>
    <w:rsid w:val="00C23071"/>
    <w:rsid w:val="00C230B3"/>
    <w:rsid w:val="00C2365A"/>
    <w:rsid w:val="00C23AD0"/>
    <w:rsid w:val="00C24632"/>
    <w:rsid w:val="00C2468D"/>
    <w:rsid w:val="00C2692D"/>
    <w:rsid w:val="00C26D16"/>
    <w:rsid w:val="00C3385E"/>
    <w:rsid w:val="00C33C48"/>
    <w:rsid w:val="00C34B7C"/>
    <w:rsid w:val="00C34D0C"/>
    <w:rsid w:val="00C36532"/>
    <w:rsid w:val="00C376F2"/>
    <w:rsid w:val="00C401B6"/>
    <w:rsid w:val="00C412F6"/>
    <w:rsid w:val="00C42638"/>
    <w:rsid w:val="00C42F6E"/>
    <w:rsid w:val="00C437EE"/>
    <w:rsid w:val="00C44DEC"/>
    <w:rsid w:val="00C44E23"/>
    <w:rsid w:val="00C44F1D"/>
    <w:rsid w:val="00C45573"/>
    <w:rsid w:val="00C45713"/>
    <w:rsid w:val="00C45AE5"/>
    <w:rsid w:val="00C47BFC"/>
    <w:rsid w:val="00C51CA0"/>
    <w:rsid w:val="00C52216"/>
    <w:rsid w:val="00C52397"/>
    <w:rsid w:val="00C52623"/>
    <w:rsid w:val="00C53F75"/>
    <w:rsid w:val="00C552A3"/>
    <w:rsid w:val="00C5542F"/>
    <w:rsid w:val="00C56016"/>
    <w:rsid w:val="00C56234"/>
    <w:rsid w:val="00C574BC"/>
    <w:rsid w:val="00C57B0A"/>
    <w:rsid w:val="00C61F27"/>
    <w:rsid w:val="00C626B0"/>
    <w:rsid w:val="00C62C2B"/>
    <w:rsid w:val="00C64750"/>
    <w:rsid w:val="00C64966"/>
    <w:rsid w:val="00C657BB"/>
    <w:rsid w:val="00C65AEE"/>
    <w:rsid w:val="00C6678E"/>
    <w:rsid w:val="00C66C46"/>
    <w:rsid w:val="00C6786B"/>
    <w:rsid w:val="00C70711"/>
    <w:rsid w:val="00C709A0"/>
    <w:rsid w:val="00C72553"/>
    <w:rsid w:val="00C72A01"/>
    <w:rsid w:val="00C746D8"/>
    <w:rsid w:val="00C74B6E"/>
    <w:rsid w:val="00C74D17"/>
    <w:rsid w:val="00C75769"/>
    <w:rsid w:val="00C76E36"/>
    <w:rsid w:val="00C7721C"/>
    <w:rsid w:val="00C7721D"/>
    <w:rsid w:val="00C77D06"/>
    <w:rsid w:val="00C80626"/>
    <w:rsid w:val="00C80B50"/>
    <w:rsid w:val="00C832BE"/>
    <w:rsid w:val="00C8625C"/>
    <w:rsid w:val="00C8792D"/>
    <w:rsid w:val="00C91933"/>
    <w:rsid w:val="00C949E1"/>
    <w:rsid w:val="00C9548E"/>
    <w:rsid w:val="00C95AFE"/>
    <w:rsid w:val="00CA0D06"/>
    <w:rsid w:val="00CA1BC6"/>
    <w:rsid w:val="00CA209C"/>
    <w:rsid w:val="00CA27FD"/>
    <w:rsid w:val="00CA301C"/>
    <w:rsid w:val="00CA48F7"/>
    <w:rsid w:val="00CA4B0B"/>
    <w:rsid w:val="00CA6C2A"/>
    <w:rsid w:val="00CA78EB"/>
    <w:rsid w:val="00CB0339"/>
    <w:rsid w:val="00CB12B3"/>
    <w:rsid w:val="00CB1970"/>
    <w:rsid w:val="00CB3029"/>
    <w:rsid w:val="00CB34DC"/>
    <w:rsid w:val="00CB4380"/>
    <w:rsid w:val="00CB49CB"/>
    <w:rsid w:val="00CB5965"/>
    <w:rsid w:val="00CB600D"/>
    <w:rsid w:val="00CC06B9"/>
    <w:rsid w:val="00CC0CCF"/>
    <w:rsid w:val="00CC1135"/>
    <w:rsid w:val="00CC1ED2"/>
    <w:rsid w:val="00CC26A3"/>
    <w:rsid w:val="00CC28B9"/>
    <w:rsid w:val="00CC297C"/>
    <w:rsid w:val="00CC43E9"/>
    <w:rsid w:val="00CC4A47"/>
    <w:rsid w:val="00CC5623"/>
    <w:rsid w:val="00CD0EB1"/>
    <w:rsid w:val="00CD1094"/>
    <w:rsid w:val="00CD1B2C"/>
    <w:rsid w:val="00CD3B31"/>
    <w:rsid w:val="00CD419B"/>
    <w:rsid w:val="00CD49AD"/>
    <w:rsid w:val="00CD6B33"/>
    <w:rsid w:val="00CD7380"/>
    <w:rsid w:val="00CE04B8"/>
    <w:rsid w:val="00CE2863"/>
    <w:rsid w:val="00CE2A47"/>
    <w:rsid w:val="00CE32B7"/>
    <w:rsid w:val="00CE38BE"/>
    <w:rsid w:val="00CE64FF"/>
    <w:rsid w:val="00CE6B91"/>
    <w:rsid w:val="00CF00A3"/>
    <w:rsid w:val="00CF0138"/>
    <w:rsid w:val="00CF0331"/>
    <w:rsid w:val="00CF06D5"/>
    <w:rsid w:val="00CF0E2E"/>
    <w:rsid w:val="00CF1B1F"/>
    <w:rsid w:val="00CF27AA"/>
    <w:rsid w:val="00CF3903"/>
    <w:rsid w:val="00CF4937"/>
    <w:rsid w:val="00CF5241"/>
    <w:rsid w:val="00CF5D5D"/>
    <w:rsid w:val="00CF6284"/>
    <w:rsid w:val="00CF62BB"/>
    <w:rsid w:val="00CF698F"/>
    <w:rsid w:val="00CF6AF3"/>
    <w:rsid w:val="00CF7FFD"/>
    <w:rsid w:val="00D0019E"/>
    <w:rsid w:val="00D0096D"/>
    <w:rsid w:val="00D00B09"/>
    <w:rsid w:val="00D01694"/>
    <w:rsid w:val="00D02516"/>
    <w:rsid w:val="00D03BBA"/>
    <w:rsid w:val="00D04833"/>
    <w:rsid w:val="00D0506F"/>
    <w:rsid w:val="00D05A85"/>
    <w:rsid w:val="00D069FD"/>
    <w:rsid w:val="00D06FEF"/>
    <w:rsid w:val="00D10A22"/>
    <w:rsid w:val="00D12E57"/>
    <w:rsid w:val="00D12FE7"/>
    <w:rsid w:val="00D1307B"/>
    <w:rsid w:val="00D14085"/>
    <w:rsid w:val="00D15083"/>
    <w:rsid w:val="00D158F9"/>
    <w:rsid w:val="00D16BE6"/>
    <w:rsid w:val="00D17401"/>
    <w:rsid w:val="00D21183"/>
    <w:rsid w:val="00D213AD"/>
    <w:rsid w:val="00D21601"/>
    <w:rsid w:val="00D21627"/>
    <w:rsid w:val="00D21AF6"/>
    <w:rsid w:val="00D22307"/>
    <w:rsid w:val="00D23AC7"/>
    <w:rsid w:val="00D23EEB"/>
    <w:rsid w:val="00D24B15"/>
    <w:rsid w:val="00D26250"/>
    <w:rsid w:val="00D2638C"/>
    <w:rsid w:val="00D263B2"/>
    <w:rsid w:val="00D27B13"/>
    <w:rsid w:val="00D30922"/>
    <w:rsid w:val="00D313B1"/>
    <w:rsid w:val="00D317FC"/>
    <w:rsid w:val="00D32877"/>
    <w:rsid w:val="00D32ED5"/>
    <w:rsid w:val="00D33A29"/>
    <w:rsid w:val="00D33FB4"/>
    <w:rsid w:val="00D34207"/>
    <w:rsid w:val="00D34B88"/>
    <w:rsid w:val="00D35A94"/>
    <w:rsid w:val="00D35B8D"/>
    <w:rsid w:val="00D35F31"/>
    <w:rsid w:val="00D3629F"/>
    <w:rsid w:val="00D41D26"/>
    <w:rsid w:val="00D436FC"/>
    <w:rsid w:val="00D43EE4"/>
    <w:rsid w:val="00D44E58"/>
    <w:rsid w:val="00D47796"/>
    <w:rsid w:val="00D50B95"/>
    <w:rsid w:val="00D50FFE"/>
    <w:rsid w:val="00D51491"/>
    <w:rsid w:val="00D52BF4"/>
    <w:rsid w:val="00D52D26"/>
    <w:rsid w:val="00D539C2"/>
    <w:rsid w:val="00D54515"/>
    <w:rsid w:val="00D55064"/>
    <w:rsid w:val="00D56230"/>
    <w:rsid w:val="00D56519"/>
    <w:rsid w:val="00D56DA7"/>
    <w:rsid w:val="00D56FC4"/>
    <w:rsid w:val="00D57C8C"/>
    <w:rsid w:val="00D616E4"/>
    <w:rsid w:val="00D61E76"/>
    <w:rsid w:val="00D62342"/>
    <w:rsid w:val="00D63597"/>
    <w:rsid w:val="00D63803"/>
    <w:rsid w:val="00D64283"/>
    <w:rsid w:val="00D647B2"/>
    <w:rsid w:val="00D6508B"/>
    <w:rsid w:val="00D6594A"/>
    <w:rsid w:val="00D663E3"/>
    <w:rsid w:val="00D67FBC"/>
    <w:rsid w:val="00D70EB5"/>
    <w:rsid w:val="00D722A3"/>
    <w:rsid w:val="00D72327"/>
    <w:rsid w:val="00D72B24"/>
    <w:rsid w:val="00D73803"/>
    <w:rsid w:val="00D73C69"/>
    <w:rsid w:val="00D73E7E"/>
    <w:rsid w:val="00D74A97"/>
    <w:rsid w:val="00D752AB"/>
    <w:rsid w:val="00D7597F"/>
    <w:rsid w:val="00D75B88"/>
    <w:rsid w:val="00D766D1"/>
    <w:rsid w:val="00D774D5"/>
    <w:rsid w:val="00D77A4F"/>
    <w:rsid w:val="00D80B30"/>
    <w:rsid w:val="00D80FC4"/>
    <w:rsid w:val="00D81452"/>
    <w:rsid w:val="00D82FE0"/>
    <w:rsid w:val="00D835BF"/>
    <w:rsid w:val="00D85075"/>
    <w:rsid w:val="00D871EF"/>
    <w:rsid w:val="00D90C7C"/>
    <w:rsid w:val="00D91B73"/>
    <w:rsid w:val="00D94505"/>
    <w:rsid w:val="00D9684D"/>
    <w:rsid w:val="00D96C13"/>
    <w:rsid w:val="00DA18E3"/>
    <w:rsid w:val="00DA2282"/>
    <w:rsid w:val="00DA29B4"/>
    <w:rsid w:val="00DA2DCC"/>
    <w:rsid w:val="00DA2E62"/>
    <w:rsid w:val="00DA32D3"/>
    <w:rsid w:val="00DA34CC"/>
    <w:rsid w:val="00DA4FD1"/>
    <w:rsid w:val="00DA5695"/>
    <w:rsid w:val="00DB0448"/>
    <w:rsid w:val="00DB2351"/>
    <w:rsid w:val="00DB286C"/>
    <w:rsid w:val="00DB5A76"/>
    <w:rsid w:val="00DB753A"/>
    <w:rsid w:val="00DC2F0D"/>
    <w:rsid w:val="00DC3166"/>
    <w:rsid w:val="00DC3AB5"/>
    <w:rsid w:val="00DC3ECC"/>
    <w:rsid w:val="00DC43E8"/>
    <w:rsid w:val="00DC4DF5"/>
    <w:rsid w:val="00DD00C5"/>
    <w:rsid w:val="00DD06B1"/>
    <w:rsid w:val="00DD0A1F"/>
    <w:rsid w:val="00DD0F36"/>
    <w:rsid w:val="00DD1691"/>
    <w:rsid w:val="00DD209C"/>
    <w:rsid w:val="00DD210B"/>
    <w:rsid w:val="00DD34F3"/>
    <w:rsid w:val="00DD3BBB"/>
    <w:rsid w:val="00DD42A3"/>
    <w:rsid w:val="00DD5B5A"/>
    <w:rsid w:val="00DD62DB"/>
    <w:rsid w:val="00DD6CB8"/>
    <w:rsid w:val="00DD7D9D"/>
    <w:rsid w:val="00DE07D6"/>
    <w:rsid w:val="00DE1275"/>
    <w:rsid w:val="00DE1686"/>
    <w:rsid w:val="00DE2D4F"/>
    <w:rsid w:val="00DE5FA1"/>
    <w:rsid w:val="00DE7273"/>
    <w:rsid w:val="00DE7556"/>
    <w:rsid w:val="00DF0185"/>
    <w:rsid w:val="00DF182C"/>
    <w:rsid w:val="00DF1DCB"/>
    <w:rsid w:val="00DF2297"/>
    <w:rsid w:val="00DF26C5"/>
    <w:rsid w:val="00DF4903"/>
    <w:rsid w:val="00DF4E5C"/>
    <w:rsid w:val="00DF5ED1"/>
    <w:rsid w:val="00DF61FB"/>
    <w:rsid w:val="00DF6AA5"/>
    <w:rsid w:val="00E008AC"/>
    <w:rsid w:val="00E03094"/>
    <w:rsid w:val="00E034C1"/>
    <w:rsid w:val="00E0350E"/>
    <w:rsid w:val="00E05378"/>
    <w:rsid w:val="00E06CCB"/>
    <w:rsid w:val="00E077E6"/>
    <w:rsid w:val="00E07DAD"/>
    <w:rsid w:val="00E12348"/>
    <w:rsid w:val="00E12575"/>
    <w:rsid w:val="00E13F39"/>
    <w:rsid w:val="00E145A8"/>
    <w:rsid w:val="00E15062"/>
    <w:rsid w:val="00E153BB"/>
    <w:rsid w:val="00E16645"/>
    <w:rsid w:val="00E17A98"/>
    <w:rsid w:val="00E236AD"/>
    <w:rsid w:val="00E23A0D"/>
    <w:rsid w:val="00E248D5"/>
    <w:rsid w:val="00E24CA6"/>
    <w:rsid w:val="00E252D4"/>
    <w:rsid w:val="00E26620"/>
    <w:rsid w:val="00E274D0"/>
    <w:rsid w:val="00E278A1"/>
    <w:rsid w:val="00E30895"/>
    <w:rsid w:val="00E31F91"/>
    <w:rsid w:val="00E327E4"/>
    <w:rsid w:val="00E3303B"/>
    <w:rsid w:val="00E330AE"/>
    <w:rsid w:val="00E342B1"/>
    <w:rsid w:val="00E34649"/>
    <w:rsid w:val="00E34B32"/>
    <w:rsid w:val="00E42F22"/>
    <w:rsid w:val="00E4351D"/>
    <w:rsid w:val="00E440B6"/>
    <w:rsid w:val="00E44417"/>
    <w:rsid w:val="00E44DB1"/>
    <w:rsid w:val="00E4639E"/>
    <w:rsid w:val="00E46A8A"/>
    <w:rsid w:val="00E46C0B"/>
    <w:rsid w:val="00E5014D"/>
    <w:rsid w:val="00E50F20"/>
    <w:rsid w:val="00E5107D"/>
    <w:rsid w:val="00E51ADF"/>
    <w:rsid w:val="00E5306A"/>
    <w:rsid w:val="00E539D2"/>
    <w:rsid w:val="00E55032"/>
    <w:rsid w:val="00E55F50"/>
    <w:rsid w:val="00E57674"/>
    <w:rsid w:val="00E57F8F"/>
    <w:rsid w:val="00E60228"/>
    <w:rsid w:val="00E6042D"/>
    <w:rsid w:val="00E60B4A"/>
    <w:rsid w:val="00E60DFF"/>
    <w:rsid w:val="00E61C8E"/>
    <w:rsid w:val="00E628A4"/>
    <w:rsid w:val="00E62A51"/>
    <w:rsid w:val="00E62C19"/>
    <w:rsid w:val="00E62D16"/>
    <w:rsid w:val="00E6351C"/>
    <w:rsid w:val="00E64ED1"/>
    <w:rsid w:val="00E65671"/>
    <w:rsid w:val="00E6569B"/>
    <w:rsid w:val="00E65DC4"/>
    <w:rsid w:val="00E664F0"/>
    <w:rsid w:val="00E67035"/>
    <w:rsid w:val="00E70863"/>
    <w:rsid w:val="00E70F45"/>
    <w:rsid w:val="00E7103B"/>
    <w:rsid w:val="00E714E5"/>
    <w:rsid w:val="00E722A7"/>
    <w:rsid w:val="00E727C3"/>
    <w:rsid w:val="00E728F7"/>
    <w:rsid w:val="00E737DA"/>
    <w:rsid w:val="00E74532"/>
    <w:rsid w:val="00E74E78"/>
    <w:rsid w:val="00E76FA4"/>
    <w:rsid w:val="00E77407"/>
    <w:rsid w:val="00E77B97"/>
    <w:rsid w:val="00E80187"/>
    <w:rsid w:val="00E81917"/>
    <w:rsid w:val="00E825E6"/>
    <w:rsid w:val="00E82DAB"/>
    <w:rsid w:val="00E83D5F"/>
    <w:rsid w:val="00E842D8"/>
    <w:rsid w:val="00E856E1"/>
    <w:rsid w:val="00E85EB9"/>
    <w:rsid w:val="00E85ECE"/>
    <w:rsid w:val="00E86029"/>
    <w:rsid w:val="00E8701C"/>
    <w:rsid w:val="00E87964"/>
    <w:rsid w:val="00E87970"/>
    <w:rsid w:val="00E87EB1"/>
    <w:rsid w:val="00E913E9"/>
    <w:rsid w:val="00E92801"/>
    <w:rsid w:val="00E93867"/>
    <w:rsid w:val="00E94BE6"/>
    <w:rsid w:val="00E94CC1"/>
    <w:rsid w:val="00E9508B"/>
    <w:rsid w:val="00E966CF"/>
    <w:rsid w:val="00E96A17"/>
    <w:rsid w:val="00E96F04"/>
    <w:rsid w:val="00EA2185"/>
    <w:rsid w:val="00EA264B"/>
    <w:rsid w:val="00EA36CD"/>
    <w:rsid w:val="00EA5624"/>
    <w:rsid w:val="00EA5806"/>
    <w:rsid w:val="00EA7F19"/>
    <w:rsid w:val="00EB11A4"/>
    <w:rsid w:val="00EB32F9"/>
    <w:rsid w:val="00EB7C6F"/>
    <w:rsid w:val="00EC03A9"/>
    <w:rsid w:val="00EC2925"/>
    <w:rsid w:val="00EC3C5A"/>
    <w:rsid w:val="00EC3CB8"/>
    <w:rsid w:val="00ED07A8"/>
    <w:rsid w:val="00ED0C06"/>
    <w:rsid w:val="00ED0F2D"/>
    <w:rsid w:val="00ED210C"/>
    <w:rsid w:val="00ED2176"/>
    <w:rsid w:val="00ED2496"/>
    <w:rsid w:val="00ED5993"/>
    <w:rsid w:val="00ED5C51"/>
    <w:rsid w:val="00ED6D5B"/>
    <w:rsid w:val="00EE0636"/>
    <w:rsid w:val="00EE07AD"/>
    <w:rsid w:val="00EE16A9"/>
    <w:rsid w:val="00EE3923"/>
    <w:rsid w:val="00EE3DA9"/>
    <w:rsid w:val="00EE49E1"/>
    <w:rsid w:val="00EE4AE0"/>
    <w:rsid w:val="00EE4C23"/>
    <w:rsid w:val="00EE61FD"/>
    <w:rsid w:val="00EE6705"/>
    <w:rsid w:val="00EE69C9"/>
    <w:rsid w:val="00EE7608"/>
    <w:rsid w:val="00EE7FDC"/>
    <w:rsid w:val="00EF0532"/>
    <w:rsid w:val="00EF28B3"/>
    <w:rsid w:val="00EF3C0A"/>
    <w:rsid w:val="00EF43C7"/>
    <w:rsid w:val="00EF548B"/>
    <w:rsid w:val="00EF5A4C"/>
    <w:rsid w:val="00EF6019"/>
    <w:rsid w:val="00EF6549"/>
    <w:rsid w:val="00EF69AC"/>
    <w:rsid w:val="00EF7B04"/>
    <w:rsid w:val="00EF7F5D"/>
    <w:rsid w:val="00F00C86"/>
    <w:rsid w:val="00F01465"/>
    <w:rsid w:val="00F014FF"/>
    <w:rsid w:val="00F0444B"/>
    <w:rsid w:val="00F05668"/>
    <w:rsid w:val="00F05D3E"/>
    <w:rsid w:val="00F06844"/>
    <w:rsid w:val="00F101E5"/>
    <w:rsid w:val="00F1069A"/>
    <w:rsid w:val="00F107F2"/>
    <w:rsid w:val="00F12DB4"/>
    <w:rsid w:val="00F1326F"/>
    <w:rsid w:val="00F13471"/>
    <w:rsid w:val="00F13938"/>
    <w:rsid w:val="00F1479C"/>
    <w:rsid w:val="00F16760"/>
    <w:rsid w:val="00F17EEE"/>
    <w:rsid w:val="00F25444"/>
    <w:rsid w:val="00F259AE"/>
    <w:rsid w:val="00F2628F"/>
    <w:rsid w:val="00F27376"/>
    <w:rsid w:val="00F276EB"/>
    <w:rsid w:val="00F27CE6"/>
    <w:rsid w:val="00F32F75"/>
    <w:rsid w:val="00F33736"/>
    <w:rsid w:val="00F379D9"/>
    <w:rsid w:val="00F40A31"/>
    <w:rsid w:val="00F40AD0"/>
    <w:rsid w:val="00F4117F"/>
    <w:rsid w:val="00F41B5E"/>
    <w:rsid w:val="00F41F29"/>
    <w:rsid w:val="00F422F6"/>
    <w:rsid w:val="00F426BC"/>
    <w:rsid w:val="00F44AA3"/>
    <w:rsid w:val="00F44E18"/>
    <w:rsid w:val="00F47F58"/>
    <w:rsid w:val="00F50B56"/>
    <w:rsid w:val="00F51105"/>
    <w:rsid w:val="00F513D6"/>
    <w:rsid w:val="00F51DFE"/>
    <w:rsid w:val="00F525A0"/>
    <w:rsid w:val="00F52AB3"/>
    <w:rsid w:val="00F53001"/>
    <w:rsid w:val="00F532D6"/>
    <w:rsid w:val="00F54191"/>
    <w:rsid w:val="00F552D0"/>
    <w:rsid w:val="00F559AC"/>
    <w:rsid w:val="00F56A51"/>
    <w:rsid w:val="00F621E2"/>
    <w:rsid w:val="00F65397"/>
    <w:rsid w:val="00F65CBB"/>
    <w:rsid w:val="00F674FD"/>
    <w:rsid w:val="00F67CE4"/>
    <w:rsid w:val="00F67EDB"/>
    <w:rsid w:val="00F67F53"/>
    <w:rsid w:val="00F709BF"/>
    <w:rsid w:val="00F70B5B"/>
    <w:rsid w:val="00F70F5E"/>
    <w:rsid w:val="00F7296B"/>
    <w:rsid w:val="00F72AD3"/>
    <w:rsid w:val="00F73BFC"/>
    <w:rsid w:val="00F73FD5"/>
    <w:rsid w:val="00F745E6"/>
    <w:rsid w:val="00F8276D"/>
    <w:rsid w:val="00F83042"/>
    <w:rsid w:val="00F830E6"/>
    <w:rsid w:val="00F8322B"/>
    <w:rsid w:val="00F84027"/>
    <w:rsid w:val="00F8567A"/>
    <w:rsid w:val="00F8617D"/>
    <w:rsid w:val="00F86F80"/>
    <w:rsid w:val="00F93280"/>
    <w:rsid w:val="00F93785"/>
    <w:rsid w:val="00F939DB"/>
    <w:rsid w:val="00F9471C"/>
    <w:rsid w:val="00F95626"/>
    <w:rsid w:val="00F96675"/>
    <w:rsid w:val="00F9738C"/>
    <w:rsid w:val="00F979D1"/>
    <w:rsid w:val="00FA12E6"/>
    <w:rsid w:val="00FA1EAC"/>
    <w:rsid w:val="00FA208E"/>
    <w:rsid w:val="00FA318E"/>
    <w:rsid w:val="00FA31F2"/>
    <w:rsid w:val="00FA69D7"/>
    <w:rsid w:val="00FA7591"/>
    <w:rsid w:val="00FB0C95"/>
    <w:rsid w:val="00FB1CCD"/>
    <w:rsid w:val="00FB2048"/>
    <w:rsid w:val="00FB34CD"/>
    <w:rsid w:val="00FB5459"/>
    <w:rsid w:val="00FB67B1"/>
    <w:rsid w:val="00FB6D44"/>
    <w:rsid w:val="00FB7047"/>
    <w:rsid w:val="00FB73F4"/>
    <w:rsid w:val="00FB7E38"/>
    <w:rsid w:val="00FC04EE"/>
    <w:rsid w:val="00FC060C"/>
    <w:rsid w:val="00FC07C0"/>
    <w:rsid w:val="00FC1760"/>
    <w:rsid w:val="00FC2E91"/>
    <w:rsid w:val="00FC62EE"/>
    <w:rsid w:val="00FC64C8"/>
    <w:rsid w:val="00FC71FF"/>
    <w:rsid w:val="00FC78BE"/>
    <w:rsid w:val="00FC7945"/>
    <w:rsid w:val="00FC7ADB"/>
    <w:rsid w:val="00FD049F"/>
    <w:rsid w:val="00FD204D"/>
    <w:rsid w:val="00FD21FD"/>
    <w:rsid w:val="00FD4468"/>
    <w:rsid w:val="00FD4EF5"/>
    <w:rsid w:val="00FD5B54"/>
    <w:rsid w:val="00FD5BB3"/>
    <w:rsid w:val="00FE1D67"/>
    <w:rsid w:val="00FE26A5"/>
    <w:rsid w:val="00FE29A0"/>
    <w:rsid w:val="00FE2C27"/>
    <w:rsid w:val="00FE3870"/>
    <w:rsid w:val="00FE783C"/>
    <w:rsid w:val="00FE7D36"/>
    <w:rsid w:val="00FE7D61"/>
    <w:rsid w:val="00FF1F94"/>
    <w:rsid w:val="00FF300C"/>
    <w:rsid w:val="00FF3EF8"/>
    <w:rsid w:val="00FF55D9"/>
    <w:rsid w:val="00FF6C3C"/>
    <w:rsid w:val="00FF7DDF"/>
    <w:rsid w:val="0F4246D8"/>
    <w:rsid w:val="158B3E6C"/>
    <w:rsid w:val="15F5110D"/>
    <w:rsid w:val="33A40EE3"/>
    <w:rsid w:val="403648CE"/>
    <w:rsid w:val="40FA31CC"/>
    <w:rsid w:val="568E097C"/>
    <w:rsid w:val="5C6C4C6F"/>
    <w:rsid w:val="6C6D1B8B"/>
    <w:rsid w:val="745F5036"/>
    <w:rsid w:val="7F0663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5"/>
    <w:qFormat/>
    <w:uiPriority w:val="9"/>
    <w:pPr>
      <w:widowControl w:val="0"/>
      <w:spacing w:after="200" w:line="600" w:lineRule="exact"/>
      <w:ind w:firstLine="643" w:firstLineChars="200"/>
      <w:outlineLvl w:val="0"/>
    </w:pPr>
    <w:rPr>
      <w:rFonts w:ascii="等线" w:hAnsi="等线" w:eastAsia="黑体" w:cs="Times New Roman"/>
      <w:b/>
      <w:kern w:val="2"/>
      <w:sz w:val="32"/>
      <w:szCs w:val="32"/>
    </w:rPr>
  </w:style>
  <w:style w:type="paragraph" w:styleId="3">
    <w:name w:val="heading 2"/>
    <w:basedOn w:val="1"/>
    <w:next w:val="1"/>
    <w:link w:val="36"/>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rPr>
  </w:style>
  <w:style w:type="paragraph" w:styleId="4">
    <w:name w:val="heading 3"/>
    <w:basedOn w:val="1"/>
    <w:next w:val="1"/>
    <w:link w:val="37"/>
    <w:semiHidden/>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uiPriority w:val="39"/>
    <w:pPr>
      <w:ind w:left="1440"/>
    </w:pPr>
    <w:rPr>
      <w:rFonts w:asciiTheme="minorHAnsi" w:eastAsiaTheme="minorHAnsi"/>
      <w:sz w:val="18"/>
      <w:szCs w:val="18"/>
    </w:rPr>
  </w:style>
  <w:style w:type="paragraph" w:styleId="6">
    <w:name w:val="annotation text"/>
    <w:basedOn w:val="1"/>
    <w:link w:val="40"/>
    <w:qFormat/>
    <w:uiPriority w:val="99"/>
    <w:pPr>
      <w:widowControl w:val="0"/>
    </w:pPr>
    <w:rPr>
      <w:rFonts w:ascii="Times New Roman" w:hAnsi="Times New Roman" w:cs="Times New Roman"/>
      <w:kern w:val="2"/>
      <w:sz w:val="21"/>
      <w:szCs w:val="20"/>
    </w:rPr>
  </w:style>
  <w:style w:type="paragraph" w:styleId="7">
    <w:name w:val="Body Text"/>
    <w:basedOn w:val="1"/>
    <w:link w:val="58"/>
    <w:semiHidden/>
    <w:unhideWhenUsed/>
    <w:qFormat/>
    <w:uiPriority w:val="99"/>
    <w:pPr>
      <w:spacing w:after="120"/>
    </w:pPr>
  </w:style>
  <w:style w:type="paragraph" w:styleId="8">
    <w:name w:val="toc 5"/>
    <w:basedOn w:val="1"/>
    <w:next w:val="1"/>
    <w:unhideWhenUsed/>
    <w:qFormat/>
    <w:uiPriority w:val="39"/>
    <w:pPr>
      <w:ind w:left="960"/>
    </w:pPr>
    <w:rPr>
      <w:rFonts w:asciiTheme="minorHAnsi" w:eastAsiaTheme="minorHAnsi"/>
      <w:sz w:val="18"/>
      <w:szCs w:val="18"/>
    </w:rPr>
  </w:style>
  <w:style w:type="paragraph" w:styleId="9">
    <w:name w:val="toc 3"/>
    <w:basedOn w:val="1"/>
    <w:next w:val="1"/>
    <w:unhideWhenUsed/>
    <w:qFormat/>
    <w:uiPriority w:val="39"/>
    <w:pPr>
      <w:ind w:left="480"/>
    </w:pPr>
    <w:rPr>
      <w:rFonts w:asciiTheme="minorHAnsi" w:eastAsiaTheme="minorHAnsi"/>
      <w:i/>
      <w:iCs/>
      <w:sz w:val="20"/>
      <w:szCs w:val="20"/>
    </w:rPr>
  </w:style>
  <w:style w:type="paragraph" w:styleId="10">
    <w:name w:val="Plain Text"/>
    <w:basedOn w:val="1"/>
    <w:link w:val="62"/>
    <w:semiHidden/>
    <w:unhideWhenUsed/>
    <w:qFormat/>
    <w:uiPriority w:val="99"/>
    <w:rPr>
      <w:rFonts w:hAnsi="Courier New" w:cs="Courier New" w:asciiTheme="minorEastAsia" w:eastAsiaTheme="minorEastAsia"/>
    </w:rPr>
  </w:style>
  <w:style w:type="paragraph" w:styleId="11">
    <w:name w:val="toc 8"/>
    <w:basedOn w:val="1"/>
    <w:next w:val="1"/>
    <w:unhideWhenUsed/>
    <w:qFormat/>
    <w:uiPriority w:val="39"/>
    <w:pPr>
      <w:ind w:left="1680"/>
    </w:pPr>
    <w:rPr>
      <w:rFonts w:asciiTheme="minorHAnsi" w:eastAsiaTheme="minorHAnsi"/>
      <w:sz w:val="18"/>
      <w:szCs w:val="18"/>
    </w:rPr>
  </w:style>
  <w:style w:type="paragraph" w:styleId="12">
    <w:name w:val="Balloon Text"/>
    <w:basedOn w:val="1"/>
    <w:link w:val="43"/>
    <w:semiHidden/>
    <w:unhideWhenUsed/>
    <w:qFormat/>
    <w:uiPriority w:val="99"/>
    <w:rPr>
      <w:sz w:val="18"/>
      <w:szCs w:val="18"/>
    </w:rPr>
  </w:style>
  <w:style w:type="paragraph" w:styleId="13">
    <w:name w:val="footer"/>
    <w:basedOn w:val="1"/>
    <w:link w:val="5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14">
    <w:name w:val="header"/>
    <w:basedOn w:val="1"/>
    <w:link w:val="50"/>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5">
    <w:name w:val="toc 1"/>
    <w:basedOn w:val="1"/>
    <w:next w:val="1"/>
    <w:unhideWhenUsed/>
    <w:qFormat/>
    <w:uiPriority w:val="39"/>
    <w:pPr>
      <w:spacing w:before="120" w:after="120"/>
    </w:pPr>
    <w:rPr>
      <w:rFonts w:asciiTheme="minorHAnsi" w:eastAsiaTheme="minorHAnsi"/>
      <w:b/>
      <w:bCs/>
      <w:caps/>
      <w:sz w:val="20"/>
      <w:szCs w:val="20"/>
    </w:rPr>
  </w:style>
  <w:style w:type="paragraph" w:styleId="16">
    <w:name w:val="toc 4"/>
    <w:basedOn w:val="1"/>
    <w:next w:val="1"/>
    <w:unhideWhenUsed/>
    <w:qFormat/>
    <w:uiPriority w:val="39"/>
    <w:pPr>
      <w:ind w:left="720"/>
    </w:pPr>
    <w:rPr>
      <w:rFonts w:asciiTheme="minorHAnsi" w:eastAsiaTheme="minorHAnsi"/>
      <w:sz w:val="18"/>
      <w:szCs w:val="18"/>
    </w:rPr>
  </w:style>
  <w:style w:type="paragraph" w:styleId="17">
    <w:name w:val="footnote text"/>
    <w:basedOn w:val="1"/>
    <w:link w:val="48"/>
    <w:qFormat/>
    <w:uiPriority w:val="0"/>
    <w:pPr>
      <w:widowControl w:val="0"/>
      <w:snapToGrid w:val="0"/>
    </w:pPr>
    <w:rPr>
      <w:rFonts w:ascii="Times New Roman" w:hAnsi="Times New Roman" w:cs="Times New Roman"/>
      <w:kern w:val="2"/>
      <w:sz w:val="18"/>
    </w:rPr>
  </w:style>
  <w:style w:type="paragraph" w:styleId="18">
    <w:name w:val="toc 6"/>
    <w:basedOn w:val="1"/>
    <w:next w:val="1"/>
    <w:unhideWhenUsed/>
    <w:qFormat/>
    <w:uiPriority w:val="39"/>
    <w:pPr>
      <w:ind w:left="1200"/>
    </w:pPr>
    <w:rPr>
      <w:rFonts w:asciiTheme="minorHAnsi" w:eastAsiaTheme="minorHAnsi"/>
      <w:sz w:val="18"/>
      <w:szCs w:val="18"/>
    </w:rPr>
  </w:style>
  <w:style w:type="paragraph" w:styleId="19">
    <w:name w:val="toc 2"/>
    <w:basedOn w:val="1"/>
    <w:next w:val="1"/>
    <w:unhideWhenUsed/>
    <w:qFormat/>
    <w:uiPriority w:val="39"/>
    <w:pPr>
      <w:ind w:left="240"/>
    </w:pPr>
    <w:rPr>
      <w:rFonts w:asciiTheme="minorHAnsi" w:eastAsiaTheme="minorHAnsi"/>
      <w:smallCaps/>
      <w:sz w:val="20"/>
      <w:szCs w:val="20"/>
    </w:rPr>
  </w:style>
  <w:style w:type="paragraph" w:styleId="20">
    <w:name w:val="toc 9"/>
    <w:basedOn w:val="1"/>
    <w:next w:val="1"/>
    <w:unhideWhenUsed/>
    <w:qFormat/>
    <w:uiPriority w:val="39"/>
    <w:pPr>
      <w:ind w:left="1920"/>
    </w:pPr>
    <w:rPr>
      <w:rFonts w:asciiTheme="minorHAnsi" w:eastAsiaTheme="minorHAnsi"/>
      <w:sz w:val="18"/>
      <w:szCs w:val="18"/>
    </w:rPr>
  </w:style>
  <w:style w:type="paragraph" w:styleId="21">
    <w:name w:val="HTML Preformatted"/>
    <w:basedOn w:val="1"/>
    <w:link w:val="4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22">
    <w:name w:val="Normal (Web)"/>
    <w:basedOn w:val="1"/>
    <w:unhideWhenUsed/>
    <w:qFormat/>
    <w:uiPriority w:val="99"/>
    <w:pPr>
      <w:spacing w:before="100" w:beforeAutospacing="1" w:after="100" w:afterAutospacing="1"/>
    </w:pPr>
    <w:rPr>
      <w:rFonts w:eastAsia="仿宋_GB2312" w:cs="Times New Roman"/>
      <w:szCs w:val="28"/>
    </w:rPr>
  </w:style>
  <w:style w:type="paragraph" w:styleId="23">
    <w:name w:val="Title"/>
    <w:basedOn w:val="1"/>
    <w:next w:val="1"/>
    <w:link w:val="53"/>
    <w:qFormat/>
    <w:uiPriority w:val="10"/>
    <w:pPr>
      <w:widowControl w:val="0"/>
      <w:spacing w:before="240" w:after="60"/>
      <w:jc w:val="center"/>
      <w:outlineLvl w:val="0"/>
    </w:pPr>
    <w:rPr>
      <w:rFonts w:asciiTheme="majorHAnsi" w:hAnsiTheme="majorHAnsi" w:eastAsiaTheme="majorEastAsia" w:cstheme="majorBidi"/>
      <w:b/>
      <w:bCs/>
      <w:kern w:val="2"/>
      <w:sz w:val="32"/>
      <w:szCs w:val="32"/>
    </w:rPr>
  </w:style>
  <w:style w:type="paragraph" w:styleId="24">
    <w:name w:val="annotation subject"/>
    <w:basedOn w:val="6"/>
    <w:next w:val="6"/>
    <w:link w:val="57"/>
    <w:semiHidden/>
    <w:unhideWhenUsed/>
    <w:qFormat/>
    <w:uiPriority w:val="99"/>
    <w:pPr>
      <w:widowControl/>
    </w:pPr>
    <w:rPr>
      <w:rFonts w:ascii="宋体" w:hAnsi="宋体" w:cs="宋体"/>
      <w:b/>
      <w:bCs/>
      <w:kern w:val="0"/>
      <w:sz w:val="24"/>
      <w:szCs w:val="24"/>
    </w:rPr>
  </w:style>
  <w:style w:type="paragraph" w:styleId="25">
    <w:name w:val="Body Text First Indent"/>
    <w:basedOn w:val="7"/>
    <w:link w:val="59"/>
    <w:qFormat/>
    <w:uiPriority w:val="99"/>
    <w:pPr>
      <w:widowControl w:val="0"/>
      <w:ind w:firstLine="420" w:firstLineChars="100"/>
      <w:jc w:val="both"/>
    </w:pPr>
    <w:rPr>
      <w:rFonts w:asciiTheme="minorHAnsi" w:hAnsiTheme="minorHAnsi" w:eastAsiaTheme="minorEastAsia" w:cstheme="minorBidi"/>
      <w:sz w:val="20"/>
      <w:szCs w:val="20"/>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page number"/>
    <w:basedOn w:val="28"/>
    <w:semiHidden/>
    <w:unhideWhenUsed/>
    <w:qFormat/>
    <w:uiPriority w:val="99"/>
  </w:style>
  <w:style w:type="character" w:styleId="31">
    <w:name w:val="FollowedHyperlink"/>
    <w:basedOn w:val="28"/>
    <w:semiHidden/>
    <w:unhideWhenUsed/>
    <w:qFormat/>
    <w:uiPriority w:val="99"/>
    <w:rPr>
      <w:color w:val="954F72" w:themeColor="followedHyperlink"/>
      <w:u w:val="single"/>
      <w14:textFill>
        <w14:solidFill>
          <w14:schemeClr w14:val="folHlink"/>
        </w14:solidFill>
      </w14:textFill>
    </w:rPr>
  </w:style>
  <w:style w:type="character" w:styleId="32">
    <w:name w:val="Hyperlink"/>
    <w:basedOn w:val="28"/>
    <w:unhideWhenUsed/>
    <w:uiPriority w:val="99"/>
    <w:rPr>
      <w:color w:val="0563C1" w:themeColor="hyperlink"/>
      <w:u w:val="single"/>
      <w14:textFill>
        <w14:solidFill>
          <w14:schemeClr w14:val="hlink"/>
        </w14:solidFill>
      </w14:textFill>
    </w:rPr>
  </w:style>
  <w:style w:type="character" w:styleId="33">
    <w:name w:val="annotation reference"/>
    <w:basedOn w:val="28"/>
    <w:qFormat/>
    <w:uiPriority w:val="99"/>
    <w:rPr>
      <w:sz w:val="21"/>
      <w:szCs w:val="21"/>
    </w:rPr>
  </w:style>
  <w:style w:type="character" w:styleId="34">
    <w:name w:val="footnote reference"/>
    <w:qFormat/>
    <w:uiPriority w:val="0"/>
    <w:rPr>
      <w:vertAlign w:val="superscript"/>
    </w:rPr>
  </w:style>
  <w:style w:type="character" w:customStyle="1" w:styleId="35">
    <w:name w:val="标题 1 Char1"/>
    <w:basedOn w:val="28"/>
    <w:link w:val="2"/>
    <w:qFormat/>
    <w:uiPriority w:val="9"/>
    <w:rPr>
      <w:rFonts w:ascii="等线" w:hAnsi="等线" w:eastAsia="黑体" w:cs="Times New Roman"/>
      <w:b/>
      <w:sz w:val="32"/>
      <w:szCs w:val="32"/>
    </w:rPr>
  </w:style>
  <w:style w:type="character" w:customStyle="1" w:styleId="36">
    <w:name w:val="标题 2 Char"/>
    <w:basedOn w:val="28"/>
    <w:link w:val="3"/>
    <w:qFormat/>
    <w:uiPriority w:val="9"/>
    <w:rPr>
      <w:rFonts w:asciiTheme="majorHAnsi" w:hAnsiTheme="majorHAnsi" w:eastAsiaTheme="majorEastAsia" w:cstheme="majorBidi"/>
      <w:b/>
      <w:bCs/>
      <w:sz w:val="32"/>
      <w:szCs w:val="32"/>
    </w:rPr>
  </w:style>
  <w:style w:type="character" w:customStyle="1" w:styleId="37">
    <w:name w:val="标题 3 Char"/>
    <w:basedOn w:val="28"/>
    <w:link w:val="4"/>
    <w:semiHidden/>
    <w:qFormat/>
    <w:uiPriority w:val="9"/>
    <w:rPr>
      <w:b/>
      <w:bCs/>
      <w:sz w:val="32"/>
      <w:szCs w:val="32"/>
    </w:rPr>
  </w:style>
  <w:style w:type="character" w:customStyle="1" w:styleId="38">
    <w:name w:val="ql-author-24648145"/>
    <w:basedOn w:val="28"/>
    <w:qFormat/>
    <w:uiPriority w:val="0"/>
  </w:style>
  <w:style w:type="paragraph" w:customStyle="1" w:styleId="39">
    <w:name w:val="ql-long-24648145"/>
    <w:basedOn w:val="1"/>
    <w:qFormat/>
    <w:uiPriority w:val="0"/>
    <w:pPr>
      <w:spacing w:before="100" w:beforeAutospacing="1" w:after="100" w:afterAutospacing="1"/>
    </w:pPr>
  </w:style>
  <w:style w:type="character" w:customStyle="1" w:styleId="40">
    <w:name w:val="批注文字 Char"/>
    <w:basedOn w:val="28"/>
    <w:link w:val="6"/>
    <w:qFormat/>
    <w:uiPriority w:val="99"/>
    <w:rPr>
      <w:rFonts w:ascii="Times New Roman" w:hAnsi="Times New Roman" w:eastAsia="宋体" w:cs="Times New Roman"/>
      <w:sz w:val="21"/>
      <w:szCs w:val="20"/>
    </w:rPr>
  </w:style>
  <w:style w:type="table" w:customStyle="1" w:styleId="41">
    <w:name w:val="清单表 7 彩色 - 着色 51"/>
    <w:basedOn w:val="26"/>
    <w:qFormat/>
    <w:uiPriority w:val="52"/>
    <w:rPr>
      <w:rFonts w:ascii="等线" w:hAnsi="等线" w:eastAsia="等线" w:cs="宋体"/>
      <w:color w:val="2E74B5"/>
    </w:rPr>
    <w:tblStylePr w:type="firstRow">
      <w:rPr>
        <w:rFonts w:ascii="等线 Light" w:hAnsi="等线 Light" w:eastAsia="等线 Light" w:cs="宋体"/>
        <w:i/>
        <w:iCs/>
        <w:sz w:val="26"/>
      </w:rPr>
      <w:tcPr>
        <w:tcBorders>
          <w:bottom w:val="single" w:color="5B9BD5" w:sz="4" w:space="0"/>
        </w:tcBorders>
        <w:shd w:val="clear" w:color="auto" w:fill="FFFFFF"/>
      </w:tcPr>
    </w:tblStylePr>
    <w:tblStylePr w:type="lastRow">
      <w:rPr>
        <w:rFonts w:ascii="等线 Light" w:hAnsi="等线 Light" w:eastAsia="等线 Light" w:cs="宋体"/>
        <w:i/>
        <w:iCs/>
        <w:sz w:val="26"/>
      </w:rPr>
      <w:tcPr>
        <w:tcBorders>
          <w:top w:val="single" w:color="5B9BD5" w:sz="4" w:space="0"/>
        </w:tcBorders>
        <w:shd w:val="clear" w:color="auto" w:fill="FFFFFF"/>
      </w:tcPr>
    </w:tblStylePr>
    <w:tblStylePr w:type="firstCol">
      <w:pPr>
        <w:jc w:val="right"/>
      </w:pPr>
      <w:rPr>
        <w:rFonts w:ascii="等线 Light" w:hAnsi="等线 Light" w:eastAsia="等线 Light" w:cs="宋体"/>
        <w:i/>
        <w:iCs/>
        <w:sz w:val="26"/>
      </w:rPr>
      <w:tcPr>
        <w:tcBorders>
          <w:right w:val="single" w:color="5B9BD5" w:sz="4" w:space="0"/>
        </w:tcBorders>
        <w:shd w:val="clear" w:color="auto" w:fill="FFFFFF"/>
      </w:tcPr>
    </w:tblStylePr>
    <w:tblStylePr w:type="lastCol">
      <w:rPr>
        <w:rFonts w:ascii="等线 Light" w:hAnsi="等线 Light" w:eastAsia="等线 Light" w:cs="宋体"/>
        <w:i/>
        <w:iCs/>
        <w:sz w:val="26"/>
      </w:rPr>
      <w:tcPr>
        <w:tcBorders>
          <w:left w:val="single" w:color="5B9BD5" w:sz="4" w:space="0"/>
        </w:tcBorders>
        <w:shd w:val="clear" w:color="auto" w:fill="FFFFFF"/>
      </w:tcPr>
    </w:tblStylePr>
    <w:tblStylePr w:type="band1Vert">
      <w:tcPr>
        <w:shd w:val="clear" w:color="auto" w:fill="DEEAF6"/>
      </w:tcPr>
    </w:tblStylePr>
    <w:tblStylePr w:type="band1Horz">
      <w:tcPr>
        <w:shd w:val="clear" w:color="auto" w:fill="DEEAF6"/>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2">
    <w:name w:val="网格表 7 彩色 - 着色 11"/>
    <w:basedOn w:val="26"/>
    <w:qFormat/>
    <w:uiPriority w:val="52"/>
    <w:rPr>
      <w:rFonts w:ascii="等线" w:hAnsi="等线" w:eastAsia="等线" w:cs="宋体"/>
      <w:color w:val="2F5496"/>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9E2F3"/>
      </w:tcPr>
    </w:tblStylePr>
    <w:tblStylePr w:type="band1Horz">
      <w:tcPr>
        <w:shd w:val="clear" w:color="auto" w:fill="D9E2F3"/>
      </w:tcPr>
    </w:tblStylePr>
    <w:tblStylePr w:type="neCell">
      <w:tcPr>
        <w:tcBorders>
          <w:bottom w:val="single" w:color="8EAADB" w:sz="4" w:space="0"/>
        </w:tcBorders>
      </w:tcPr>
    </w:tblStylePr>
    <w:tblStylePr w:type="nwCell">
      <w:tcPr>
        <w:tcBorders>
          <w:bottom w:val="single" w:color="8EAADB" w:sz="4" w:space="0"/>
        </w:tcBorders>
      </w:tcPr>
    </w:tblStylePr>
    <w:tblStylePr w:type="seCell">
      <w:tcPr>
        <w:tcBorders>
          <w:top w:val="single" w:color="8EAADB" w:sz="4" w:space="0"/>
        </w:tcBorders>
      </w:tcPr>
    </w:tblStylePr>
    <w:tblStylePr w:type="swCell">
      <w:tcPr>
        <w:tcBorders>
          <w:top w:val="single" w:color="8EAADB" w:sz="4" w:space="0"/>
        </w:tcBorders>
      </w:tcPr>
    </w:tblStylePr>
  </w:style>
  <w:style w:type="character" w:customStyle="1" w:styleId="43">
    <w:name w:val="批注框文本 Char"/>
    <w:basedOn w:val="28"/>
    <w:link w:val="12"/>
    <w:semiHidden/>
    <w:qFormat/>
    <w:uiPriority w:val="99"/>
    <w:rPr>
      <w:rFonts w:ascii="宋体" w:eastAsia="宋体"/>
      <w:sz w:val="18"/>
      <w:szCs w:val="18"/>
    </w:rPr>
  </w:style>
  <w:style w:type="paragraph" w:styleId="44">
    <w:name w:val="List Paragraph"/>
    <w:basedOn w:val="1"/>
    <w:qFormat/>
    <w:uiPriority w:val="34"/>
    <w:pPr>
      <w:widowControl w:val="0"/>
      <w:ind w:firstLine="420" w:firstLineChars="200"/>
      <w:jc w:val="both"/>
    </w:pPr>
    <w:rPr>
      <w:rFonts w:ascii="等线" w:hAnsi="等线" w:eastAsia="等线"/>
      <w:kern w:val="2"/>
      <w:sz w:val="21"/>
    </w:rPr>
  </w:style>
  <w:style w:type="character" w:customStyle="1" w:styleId="45">
    <w:name w:val="HTML 预设格式 Char"/>
    <w:basedOn w:val="28"/>
    <w:link w:val="21"/>
    <w:qFormat/>
    <w:uiPriority w:val="99"/>
    <w:rPr>
      <w:rFonts w:ascii="宋体" w:hAnsi="宋体" w:eastAsia="宋体" w:cs="宋体"/>
      <w:kern w:val="0"/>
    </w:rPr>
  </w:style>
  <w:style w:type="character" w:customStyle="1" w:styleId="46">
    <w:name w:val="bjh-strong"/>
    <w:basedOn w:val="28"/>
    <w:qFormat/>
    <w:uiPriority w:val="0"/>
  </w:style>
  <w:style w:type="paragraph" w:customStyle="1" w:styleId="47">
    <w:name w:val="text_align-justify"/>
    <w:basedOn w:val="1"/>
    <w:qFormat/>
    <w:uiPriority w:val="0"/>
    <w:pPr>
      <w:spacing w:before="100" w:beforeAutospacing="1" w:after="100" w:afterAutospacing="1"/>
    </w:pPr>
  </w:style>
  <w:style w:type="character" w:customStyle="1" w:styleId="48">
    <w:name w:val="脚注文本 Char"/>
    <w:basedOn w:val="28"/>
    <w:link w:val="17"/>
    <w:qFormat/>
    <w:uiPriority w:val="0"/>
    <w:rPr>
      <w:rFonts w:ascii="Times New Roman" w:hAnsi="Times New Roman" w:eastAsia="宋体" w:cs="Times New Roman"/>
      <w:sz w:val="18"/>
    </w:rPr>
  </w:style>
  <w:style w:type="paragraph" w:customStyle="1" w:styleId="49">
    <w:name w:val="正文—三号"/>
    <w:basedOn w:val="1"/>
    <w:qFormat/>
    <w:uiPriority w:val="99"/>
    <w:pPr>
      <w:widowControl w:val="0"/>
      <w:spacing w:line="560" w:lineRule="exact"/>
      <w:ind w:firstLine="198" w:firstLineChars="198"/>
      <w:jc w:val="both"/>
    </w:pPr>
    <w:rPr>
      <w:rFonts w:ascii="仿宋" w:hAnsi="Times New Roman" w:eastAsia="仿宋" w:cs="仿宋"/>
      <w:kern w:val="2"/>
      <w:sz w:val="32"/>
      <w:szCs w:val="32"/>
    </w:rPr>
  </w:style>
  <w:style w:type="character" w:customStyle="1" w:styleId="50">
    <w:name w:val="页眉 Char"/>
    <w:basedOn w:val="28"/>
    <w:link w:val="14"/>
    <w:qFormat/>
    <w:uiPriority w:val="99"/>
    <w:rPr>
      <w:sz w:val="18"/>
      <w:szCs w:val="18"/>
    </w:rPr>
  </w:style>
  <w:style w:type="character" w:customStyle="1" w:styleId="51">
    <w:name w:val="页脚 Char"/>
    <w:basedOn w:val="28"/>
    <w:link w:val="13"/>
    <w:qFormat/>
    <w:uiPriority w:val="99"/>
    <w:rPr>
      <w:sz w:val="18"/>
      <w:szCs w:val="18"/>
    </w:rPr>
  </w:style>
  <w:style w:type="character" w:customStyle="1" w:styleId="52">
    <w:name w:val="bjh-p"/>
    <w:basedOn w:val="28"/>
    <w:qFormat/>
    <w:uiPriority w:val="0"/>
  </w:style>
  <w:style w:type="character" w:customStyle="1" w:styleId="53">
    <w:name w:val="标题 Char"/>
    <w:basedOn w:val="28"/>
    <w:link w:val="23"/>
    <w:qFormat/>
    <w:uiPriority w:val="10"/>
    <w:rPr>
      <w:rFonts w:asciiTheme="majorHAnsi" w:hAnsiTheme="majorHAnsi" w:eastAsiaTheme="majorEastAsia" w:cstheme="majorBidi"/>
      <w:b/>
      <w:bCs/>
      <w:sz w:val="32"/>
      <w:szCs w:val="32"/>
    </w:rPr>
  </w:style>
  <w:style w:type="character" w:customStyle="1" w:styleId="54">
    <w:name w:val="标题 1 Char"/>
    <w:qFormat/>
    <w:locked/>
    <w:uiPriority w:val="99"/>
    <w:rPr>
      <w:b/>
      <w:bCs/>
      <w:kern w:val="44"/>
      <w:sz w:val="44"/>
      <w:szCs w:val="44"/>
    </w:rPr>
  </w:style>
  <w:style w:type="character" w:customStyle="1" w:styleId="55">
    <w:name w:val="未处理的提及1"/>
    <w:basedOn w:val="28"/>
    <w:qFormat/>
    <w:uiPriority w:val="99"/>
    <w:rPr>
      <w:color w:val="605E5C"/>
      <w:shd w:val="clear" w:color="auto" w:fill="E1DFDD"/>
    </w:rPr>
  </w:style>
  <w:style w:type="paragraph" w:customStyle="1" w:styleId="56">
    <w:name w:val="修订1"/>
    <w:hidden/>
    <w:semiHidden/>
    <w:qFormat/>
    <w:uiPriority w:val="99"/>
    <w:rPr>
      <w:rFonts w:ascii="宋体" w:hAnsi="宋体" w:eastAsia="宋体" w:cs="宋体"/>
      <w:sz w:val="24"/>
      <w:szCs w:val="24"/>
      <w:lang w:val="en-US" w:eastAsia="zh-CN" w:bidi="ar-SA"/>
    </w:rPr>
  </w:style>
  <w:style w:type="character" w:customStyle="1" w:styleId="57">
    <w:name w:val="批注主题 Char"/>
    <w:basedOn w:val="40"/>
    <w:link w:val="24"/>
    <w:semiHidden/>
    <w:qFormat/>
    <w:uiPriority w:val="99"/>
    <w:rPr>
      <w:rFonts w:ascii="宋体" w:hAnsi="宋体" w:eastAsia="宋体" w:cs="宋体"/>
      <w:b/>
      <w:bCs/>
      <w:kern w:val="0"/>
      <w:sz w:val="21"/>
      <w:szCs w:val="20"/>
    </w:rPr>
  </w:style>
  <w:style w:type="character" w:customStyle="1" w:styleId="58">
    <w:name w:val="正文文本 Char"/>
    <w:basedOn w:val="28"/>
    <w:link w:val="7"/>
    <w:semiHidden/>
    <w:qFormat/>
    <w:uiPriority w:val="99"/>
    <w:rPr>
      <w:rFonts w:ascii="宋体" w:hAnsi="宋体" w:eastAsia="宋体" w:cs="宋体"/>
      <w:kern w:val="0"/>
    </w:rPr>
  </w:style>
  <w:style w:type="character" w:customStyle="1" w:styleId="59">
    <w:name w:val="正文首行缩进 Char"/>
    <w:basedOn w:val="58"/>
    <w:link w:val="25"/>
    <w:qFormat/>
    <w:uiPriority w:val="99"/>
    <w:rPr>
      <w:rFonts w:ascii="宋体" w:hAnsi="宋体" w:eastAsia="宋体" w:cs="宋体"/>
      <w:kern w:val="0"/>
      <w:sz w:val="20"/>
      <w:szCs w:val="20"/>
    </w:rPr>
  </w:style>
  <w:style w:type="character" w:customStyle="1" w:styleId="60">
    <w:name w:val="未处理的提及2"/>
    <w:basedOn w:val="28"/>
    <w:semiHidden/>
    <w:unhideWhenUsed/>
    <w:qFormat/>
    <w:uiPriority w:val="99"/>
    <w:rPr>
      <w:color w:val="605E5C"/>
      <w:shd w:val="clear" w:color="auto" w:fill="E1DFDD"/>
    </w:rPr>
  </w:style>
  <w:style w:type="paragraph" w:customStyle="1" w:styleId="61">
    <w:name w:val="新正文"/>
    <w:basedOn w:val="10"/>
    <w:qFormat/>
    <w:uiPriority w:val="0"/>
    <w:pPr>
      <w:widowControl w:val="0"/>
      <w:ind w:firstLine="200" w:firstLineChars="200"/>
      <w:jc w:val="both"/>
    </w:pPr>
    <w:rPr>
      <w:rFonts w:ascii="仿宋_GB2312" w:eastAsia="仿宋_GB2312"/>
      <w:kern w:val="2"/>
      <w:sz w:val="32"/>
      <w:szCs w:val="22"/>
    </w:rPr>
  </w:style>
  <w:style w:type="character" w:customStyle="1" w:styleId="62">
    <w:name w:val="纯文本 Char"/>
    <w:basedOn w:val="28"/>
    <w:link w:val="10"/>
    <w:semiHidden/>
    <w:qFormat/>
    <w:uiPriority w:val="99"/>
    <w:rPr>
      <w:rFonts w:hAnsi="Courier New" w:cs="Courier New" w:asciiTheme="minorEastAsia"/>
      <w:kern w:val="0"/>
    </w:rPr>
  </w:style>
  <w:style w:type="paragraph" w:customStyle="1" w:styleId="63">
    <w:name w:val="TOC 标题1"/>
    <w:basedOn w:val="2"/>
    <w:next w:val="1"/>
    <w:semiHidden/>
    <w:unhideWhenUsed/>
    <w:qFormat/>
    <w:uiPriority w:val="39"/>
    <w:pPr>
      <w:keepNext/>
      <w:keepLines/>
      <w:widowControl/>
      <w:spacing w:before="480" w:after="0" w:line="276" w:lineRule="auto"/>
      <w:ind w:firstLine="0" w:firstLineChars="0"/>
      <w:outlineLvl w:val="9"/>
    </w:pPr>
    <w:rPr>
      <w:rFonts w:asciiTheme="majorHAnsi" w:hAnsiTheme="majorHAnsi" w:eastAsiaTheme="majorEastAsia" w:cstheme="majorBidi"/>
      <w:bCs/>
      <w:color w:val="2F5597"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BD4DC-B390-46D0-92F5-38A70CAFCAE8}">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106</Pages>
  <Words>6281</Words>
  <Characters>6895</Characters>
  <Lines>36</Lines>
  <Paragraphs>121</Paragraphs>
  <TotalTime>38</TotalTime>
  <ScaleCrop>false</ScaleCrop>
  <LinksUpToDate>false</LinksUpToDate>
  <CharactersWithSpaces>7012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2021-06-07T08:24:00Z</dcterms:created>
  <dc:creator>1403807830@qq.com</dc:creator>
  <cp:lastModifiedBy>颜思晶</cp:lastModifiedBy>
  <cp:lastPrinted>2021-06-04T01:04:00Z</cp:lastPrinted>
  <dcterms:modified xsi:type="dcterms:W3CDTF">2025-12-25T09:05:26Z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279220822_btnclosed</vt:lpwstr>
  </property>
  <property fmtid="{D5CDD505-2E9C-101B-9397-08002B2CF9AE}" pid="4" name="ICV">
    <vt:lpwstr>219456D07BC949008BCF0E1DED4EB523_13</vt:lpwstr>
  </property>
  <property fmtid="{D5CDD505-2E9C-101B-9397-08002B2CF9AE}" pid="5" name="KSOTemplateDocerSaveRecord">
    <vt:lpwstr>eyJoZGlkIjoiMWI5Nzg4OTIwMTkyYmE1YWEzYzk3Y2ZiNjczNzg4OWUiLCJ1c2VySWQiOiI1NzY0MzM1MzYifQ==</vt:lpwstr>
  </property>
</Properties>
</file>