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F66E8">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附件</w:t>
      </w:r>
    </w:p>
    <w:p w14:paraId="1B90B99B">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1C43894A">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262AF436">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04B4EBBA">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35CB1250">
      <w:pPr>
        <w:keepNext w:val="0"/>
        <w:keepLines w:val="0"/>
        <w:pageBreakBefore w:val="0"/>
        <w:widowControl w:val="0"/>
        <w:suppressAutoHyphens/>
        <w:kinsoku/>
        <w:wordWrap w:val="0"/>
        <w:overflowPunct w:val="0"/>
        <w:topLinePunct w:val="0"/>
        <w:autoSpaceDE w:val="0"/>
        <w:autoSpaceDN w:val="0"/>
        <w:bidi w:val="0"/>
        <w:adjustRightInd/>
        <w:snapToGrid/>
        <w:spacing w:line="590" w:lineRule="exact"/>
        <w:jc w:val="center"/>
        <w:textAlignment w:val="auto"/>
        <w:outlineLvl w:val="0"/>
        <w:rPr>
          <w:rFonts w:hint="default" w:ascii="Times New Roman" w:hAnsi="Times New Roman" w:eastAsia="方正小标宋简体" w:cs="Times New Roman"/>
          <w:color w:val="auto"/>
          <w:sz w:val="44"/>
          <w:szCs w:val="44"/>
        </w:rPr>
      </w:pPr>
      <w:r>
        <w:rPr>
          <w:rFonts w:hint="eastAsia" w:ascii="方正小标宋简体" w:hAnsi="方正小标宋简体" w:eastAsia="方正小标宋简体" w:cs="方正小标宋简体"/>
          <w:color w:val="auto"/>
          <w:sz w:val="44"/>
          <w:szCs w:val="44"/>
        </w:rPr>
        <w:t>鲤城浮桥“4·5”一般道路交通事故调查报告</w:t>
      </w:r>
    </w:p>
    <w:p w14:paraId="1EA50A13">
      <w:pPr>
        <w:keepNext w:val="0"/>
        <w:keepLines w:val="0"/>
        <w:pageBreakBefore w:val="0"/>
        <w:widowControl w:val="0"/>
        <w:kinsoku/>
        <w:wordWrap w:val="0"/>
        <w:overflowPunct w:val="0"/>
        <w:topLinePunct w:val="0"/>
        <w:autoSpaceDE w:val="0"/>
        <w:autoSpaceDN w:val="0"/>
        <w:bidi w:val="0"/>
        <w:adjustRightInd/>
        <w:snapToGrid/>
        <w:spacing w:line="590" w:lineRule="exact"/>
        <w:textAlignment w:val="auto"/>
        <w:rPr>
          <w:rFonts w:ascii="Times New Roman" w:hAnsi="Times New Roman" w:eastAsia="黑体" w:cs="Times New Roman"/>
          <w:color w:val="auto"/>
          <w:sz w:val="32"/>
          <w:szCs w:val="32"/>
        </w:rPr>
      </w:pPr>
    </w:p>
    <w:p w14:paraId="5EE7B4D2">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16CCFB71">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0C90FB03">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7C24B45D">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2E325EA5">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27154AD4">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0D88F5CC">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5CE63E6E">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4F9A81AC">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778C1E14">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69751B0D">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34DFB25D">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5196DA51">
      <w:pPr>
        <w:keepNext w:val="0"/>
        <w:keepLines w:val="0"/>
        <w:pageBreakBefore w:val="0"/>
        <w:kinsoku/>
        <w:wordWrap w:val="0"/>
        <w:overflowPunct w:val="0"/>
        <w:topLinePunct w:val="0"/>
        <w:autoSpaceDE w:val="0"/>
        <w:autoSpaceDN w:val="0"/>
        <w:bidi w:val="0"/>
        <w:adjustRightInd/>
        <w:snapToGrid/>
        <w:spacing w:line="540" w:lineRule="exact"/>
        <w:textAlignment w:val="auto"/>
        <w:rPr>
          <w:rFonts w:ascii="Times New Roman" w:hAnsi="Times New Roman" w:eastAsia="黑体" w:cs="Times New Roman"/>
          <w:color w:val="auto"/>
          <w:sz w:val="32"/>
          <w:szCs w:val="32"/>
        </w:rPr>
      </w:pPr>
    </w:p>
    <w:p w14:paraId="3D8B05E7">
      <w:pPr>
        <w:keepNext w:val="0"/>
        <w:keepLines w:val="0"/>
        <w:pageBreakBefore w:val="0"/>
        <w:kinsoku/>
        <w:wordWrap w:val="0"/>
        <w:overflowPunct w:val="0"/>
        <w:topLinePunct w:val="0"/>
        <w:autoSpaceDE w:val="0"/>
        <w:autoSpaceDN w:val="0"/>
        <w:bidi w:val="0"/>
        <w:adjustRightInd/>
        <w:snapToGrid/>
        <w:spacing w:line="540" w:lineRule="exact"/>
        <w:jc w:val="center"/>
        <w:textAlignment w:val="auto"/>
        <w:outlineLvl w:val="0"/>
        <w:rPr>
          <w:rFonts w:ascii="Times New Roman" w:hAnsi="Times New Roman" w:eastAsia="楷体" w:cs="Times New Roman"/>
          <w:color w:val="auto"/>
          <w:sz w:val="32"/>
          <w:szCs w:val="32"/>
        </w:rPr>
      </w:pPr>
      <w:r>
        <w:rPr>
          <w:rFonts w:hint="default" w:ascii="Times New Roman" w:hAnsi="Times New Roman" w:eastAsia="楷体" w:cs="Times New Roman"/>
          <w:color w:val="auto"/>
          <w:sz w:val="32"/>
          <w:szCs w:val="32"/>
          <w:lang w:val="en-US" w:eastAsia="zh-CN"/>
        </w:rPr>
        <w:t>鲤城浮桥“4·5”一般道路交通事故调查组</w:t>
      </w:r>
    </w:p>
    <w:p w14:paraId="5540CA87">
      <w:pPr>
        <w:keepNext w:val="0"/>
        <w:keepLines w:val="0"/>
        <w:pageBreakBefore w:val="0"/>
        <w:kinsoku/>
        <w:wordWrap w:val="0"/>
        <w:overflowPunct w:val="0"/>
        <w:topLinePunct w:val="0"/>
        <w:autoSpaceDE w:val="0"/>
        <w:autoSpaceDN w:val="0"/>
        <w:bidi w:val="0"/>
        <w:adjustRightInd/>
        <w:snapToGrid/>
        <w:spacing w:line="540" w:lineRule="exact"/>
        <w:jc w:val="center"/>
        <w:textAlignment w:val="auto"/>
        <w:rPr>
          <w:rFonts w:ascii="Times New Roman" w:hAnsi="Times New Roman" w:eastAsia="楷体" w:cs="Times New Roman"/>
          <w:color w:val="auto"/>
          <w:sz w:val="32"/>
          <w:szCs w:val="32"/>
        </w:rPr>
      </w:pPr>
      <w:r>
        <w:rPr>
          <w:rFonts w:hint="eastAsia" w:ascii="Times New Roman" w:hAnsi="Times New Roman" w:eastAsia="楷体" w:cs="Times New Roman"/>
          <w:color w:val="auto"/>
          <w:sz w:val="32"/>
          <w:szCs w:val="32"/>
        </w:rPr>
        <w:t>2025年</w:t>
      </w:r>
      <w:r>
        <w:rPr>
          <w:rFonts w:hint="eastAsia" w:eastAsia="楷体" w:cs="Times New Roman"/>
          <w:color w:val="auto"/>
          <w:sz w:val="32"/>
          <w:szCs w:val="32"/>
          <w:lang w:val="en-US" w:eastAsia="zh-CN"/>
        </w:rPr>
        <w:t>8</w:t>
      </w:r>
      <w:r>
        <w:rPr>
          <w:rFonts w:ascii="Times New Roman" w:hAnsi="Times New Roman" w:eastAsia="楷体" w:cs="Times New Roman"/>
          <w:color w:val="auto"/>
          <w:sz w:val="32"/>
          <w:szCs w:val="32"/>
        </w:rPr>
        <w:t>月</w:t>
      </w:r>
    </w:p>
    <w:p w14:paraId="183E69CE">
      <w:pPr>
        <w:keepNext w:val="0"/>
        <w:keepLines w:val="0"/>
        <w:pageBreakBefore w:val="0"/>
        <w:kinsoku/>
        <w:wordWrap w:val="0"/>
        <w:topLinePunct w:val="0"/>
        <w:bidi w:val="0"/>
        <w:adjustRightInd/>
        <w:snapToGrid/>
        <w:jc w:val="center"/>
        <w:textAlignment w:val="auto"/>
        <w:rPr>
          <w:rFonts w:ascii="宋体" w:hAnsi="宋体"/>
          <w:b/>
          <w:bCs/>
          <w:color w:val="auto"/>
          <w:sz w:val="44"/>
          <w:szCs w:val="44"/>
        </w:rPr>
        <w:sectPr>
          <w:footerReference r:id="rId5" w:type="first"/>
          <w:footerReference r:id="rId3" w:type="default"/>
          <w:footerReference r:id="rId4" w:type="even"/>
          <w:pgSz w:w="11906" w:h="16838"/>
          <w:pgMar w:top="1928" w:right="1474" w:bottom="1701" w:left="1588" w:header="720" w:footer="1168" w:gutter="0"/>
          <w:pgNumType w:fmt="decimal" w:start="3"/>
          <w:cols w:space="720" w:num="1"/>
          <w:titlePg/>
          <w:docGrid w:linePitch="286" w:charSpace="0"/>
        </w:sectPr>
      </w:pPr>
    </w:p>
    <w:p w14:paraId="55674D4D">
      <w:pPr>
        <w:keepNext w:val="0"/>
        <w:keepLines w:val="0"/>
        <w:pageBreakBefore w:val="0"/>
        <w:widowControl w:val="0"/>
        <w:kinsoku/>
        <w:wordWrap w:val="0"/>
        <w:overflowPunct/>
        <w:topLinePunct w:val="0"/>
        <w:autoSpaceDE/>
        <w:autoSpaceDN/>
        <w:bidi w:val="0"/>
        <w:adjustRightInd/>
        <w:snapToGrid/>
        <w:spacing w:line="590" w:lineRule="exact"/>
        <w:jc w:val="center"/>
        <w:textAlignment w:val="auto"/>
        <w:rPr>
          <w:rFonts w:ascii="宋体" w:hAnsi="宋体" w:eastAsia="宋体" w:cs="Times New Roman"/>
          <w:b/>
          <w:bCs/>
          <w:color w:val="auto"/>
          <w:sz w:val="44"/>
          <w:szCs w:val="44"/>
        </w:rPr>
      </w:pPr>
      <w:r>
        <w:rPr>
          <w:rFonts w:ascii="宋体" w:hAnsi="宋体" w:eastAsia="宋体" w:cs="Times New Roman"/>
          <w:b/>
          <w:bCs/>
          <w:color w:val="auto"/>
          <w:sz w:val="44"/>
          <w:szCs w:val="44"/>
        </w:rPr>
        <w:t>目</w:t>
      </w:r>
      <w:r>
        <w:rPr>
          <w:rFonts w:hint="eastAsia" w:ascii="宋体" w:hAnsi="宋体" w:eastAsia="宋体" w:cs="Times New Roman"/>
          <w:b/>
          <w:bCs/>
          <w:color w:val="auto"/>
          <w:sz w:val="44"/>
          <w:szCs w:val="44"/>
        </w:rPr>
        <w:t xml:space="preserve"> </w:t>
      </w:r>
      <w:r>
        <w:rPr>
          <w:rFonts w:ascii="宋体" w:hAnsi="宋体" w:eastAsia="宋体" w:cs="Times New Roman"/>
          <w:b/>
          <w:bCs/>
          <w:color w:val="auto"/>
          <w:sz w:val="44"/>
          <w:szCs w:val="44"/>
        </w:rPr>
        <w:t>录</w:t>
      </w:r>
    </w:p>
    <w:p w14:paraId="23EEBE96">
      <w:pPr>
        <w:keepNext w:val="0"/>
        <w:keepLines w:val="0"/>
        <w:pageBreakBefore w:val="0"/>
        <w:widowControl w:val="0"/>
        <w:kinsoku/>
        <w:wordWrap w:val="0"/>
        <w:overflowPunct/>
        <w:topLinePunct w:val="0"/>
        <w:autoSpaceDE/>
        <w:autoSpaceDN/>
        <w:bidi w:val="0"/>
        <w:adjustRightInd/>
        <w:snapToGrid/>
        <w:spacing w:line="590" w:lineRule="exact"/>
        <w:jc w:val="center"/>
        <w:textAlignment w:val="auto"/>
        <w:rPr>
          <w:b/>
          <w:color w:val="auto"/>
          <w:sz w:val="28"/>
          <w:szCs w:val="28"/>
        </w:rPr>
      </w:pPr>
      <w:r>
        <w:rPr>
          <w:rFonts w:eastAsia="黑体"/>
          <w:color w:val="auto"/>
          <w:sz w:val="28"/>
          <w:szCs w:val="28"/>
        </w:rPr>
        <w:fldChar w:fldCharType="begin"/>
      </w:r>
      <w:r>
        <w:rPr>
          <w:rFonts w:eastAsia="黑体"/>
          <w:color w:val="auto"/>
          <w:sz w:val="28"/>
          <w:szCs w:val="28"/>
        </w:rPr>
        <w:instrText xml:space="preserve">TOC \o "1-2" \h \u </w:instrText>
      </w:r>
      <w:r>
        <w:rPr>
          <w:rFonts w:eastAsia="黑体"/>
          <w:color w:val="auto"/>
          <w:sz w:val="28"/>
          <w:szCs w:val="28"/>
        </w:rPr>
        <w:fldChar w:fldCharType="separate"/>
      </w:r>
    </w:p>
    <w:p w14:paraId="52F246FE">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eastAsia="方正黑体简体"/>
          <w:bCs/>
          <w:color w:val="auto"/>
          <w:sz w:val="28"/>
          <w:szCs w:val="28"/>
        </w:rPr>
      </w:pPr>
      <w:r>
        <w:rPr>
          <w:color w:val="auto"/>
          <w:sz w:val="28"/>
          <w:szCs w:val="28"/>
        </w:rPr>
        <w:fldChar w:fldCharType="begin"/>
      </w:r>
      <w:r>
        <w:rPr>
          <w:color w:val="auto"/>
          <w:sz w:val="28"/>
          <w:szCs w:val="28"/>
        </w:rPr>
        <w:instrText xml:space="preserve"> HYPERLINK \l "_Toc8505" </w:instrText>
      </w:r>
      <w:r>
        <w:rPr>
          <w:color w:val="auto"/>
          <w:sz w:val="28"/>
          <w:szCs w:val="28"/>
        </w:rPr>
        <w:fldChar w:fldCharType="separate"/>
      </w:r>
      <w:r>
        <w:rPr>
          <w:rFonts w:eastAsia="方正黑体简体"/>
          <w:bCs/>
          <w:color w:val="auto"/>
          <w:sz w:val="28"/>
          <w:szCs w:val="28"/>
        </w:rPr>
        <w:t>一、</w:t>
      </w:r>
      <w:r>
        <w:rPr>
          <w:rFonts w:hint="eastAsia" w:eastAsia="方正黑体简体"/>
          <w:bCs/>
          <w:color w:val="auto"/>
          <w:sz w:val="28"/>
          <w:szCs w:val="28"/>
        </w:rPr>
        <w:t>事故基本情况</w:t>
      </w:r>
      <w:r>
        <w:rPr>
          <w:rFonts w:eastAsia="方正黑体简体"/>
          <w:bCs/>
          <w:color w:val="auto"/>
          <w:sz w:val="28"/>
          <w:szCs w:val="28"/>
        </w:rPr>
        <w:tab/>
      </w:r>
      <w:r>
        <w:rPr>
          <w:rFonts w:hint="eastAsia" w:eastAsia="方正黑体简体"/>
          <w:bCs/>
          <w:color w:val="auto"/>
          <w:sz w:val="28"/>
          <w:szCs w:val="28"/>
          <w:lang w:val="en-US" w:eastAsia="zh-CN"/>
        </w:rPr>
        <w:t>6</w:t>
      </w:r>
      <w:r>
        <w:rPr>
          <w:rFonts w:eastAsia="方正黑体简体"/>
          <w:bCs/>
          <w:color w:val="auto"/>
          <w:sz w:val="28"/>
          <w:szCs w:val="28"/>
        </w:rPr>
        <w:fldChar w:fldCharType="end"/>
      </w:r>
    </w:p>
    <w:p w14:paraId="03474665">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eastAsia="zh-CN"/>
        </w:rPr>
      </w:pPr>
      <w:r>
        <w:rPr>
          <w:rFonts w:hint="eastAsia" w:eastAsia="楷体"/>
          <w:bCs/>
          <w:color w:val="auto"/>
          <w:sz w:val="28"/>
          <w:szCs w:val="28"/>
        </w:rPr>
        <w:t xml:space="preserve">   （一）事故发生单位概况</w:t>
      </w:r>
      <w:r>
        <w:rPr>
          <w:rFonts w:eastAsia="方正黑体简体"/>
          <w:bCs/>
          <w:color w:val="auto"/>
          <w:sz w:val="28"/>
          <w:szCs w:val="28"/>
        </w:rPr>
        <w:tab/>
      </w:r>
      <w:r>
        <w:rPr>
          <w:rFonts w:hint="eastAsia" w:eastAsia="方正黑体简体"/>
          <w:bCs/>
          <w:color w:val="auto"/>
          <w:sz w:val="28"/>
          <w:szCs w:val="28"/>
          <w:lang w:val="en-US" w:eastAsia="zh-CN"/>
        </w:rPr>
        <w:t>6</w:t>
      </w:r>
    </w:p>
    <w:p w14:paraId="28EA85AD">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eastAsia="zh-CN"/>
        </w:rPr>
      </w:pPr>
      <w:r>
        <w:rPr>
          <w:rFonts w:hint="eastAsia" w:eastAsia="方正黑体简体"/>
          <w:bCs/>
          <w:color w:val="auto"/>
          <w:sz w:val="28"/>
          <w:szCs w:val="28"/>
        </w:rPr>
        <w:t xml:space="preserve">   </w:t>
      </w:r>
      <w:r>
        <w:rPr>
          <w:rFonts w:hint="eastAsia" w:eastAsia="楷体"/>
          <w:bCs/>
          <w:color w:val="auto"/>
          <w:sz w:val="28"/>
          <w:szCs w:val="28"/>
        </w:rPr>
        <w:t>（二）有关单位概况</w:t>
      </w:r>
      <w:r>
        <w:rPr>
          <w:rFonts w:eastAsia="方正黑体简体"/>
          <w:bCs/>
          <w:color w:val="auto"/>
          <w:sz w:val="28"/>
          <w:szCs w:val="28"/>
        </w:rPr>
        <w:tab/>
      </w:r>
      <w:r>
        <w:rPr>
          <w:rFonts w:hint="eastAsia" w:eastAsia="方正黑体简体"/>
          <w:bCs/>
          <w:color w:val="auto"/>
          <w:sz w:val="28"/>
          <w:szCs w:val="28"/>
          <w:lang w:val="en-US" w:eastAsia="zh-CN"/>
        </w:rPr>
        <w:t>9</w:t>
      </w:r>
    </w:p>
    <w:p w14:paraId="14BD5687">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eastAsia="zh-CN"/>
        </w:rPr>
      </w:pPr>
      <w:r>
        <w:rPr>
          <w:rFonts w:hint="eastAsia" w:eastAsia="方正黑体简体"/>
          <w:bCs/>
          <w:color w:val="auto"/>
          <w:sz w:val="28"/>
          <w:szCs w:val="28"/>
        </w:rPr>
        <w:t xml:space="preserve">   </w:t>
      </w:r>
      <w:r>
        <w:rPr>
          <w:rFonts w:hint="eastAsia" w:eastAsia="楷体"/>
          <w:bCs/>
          <w:color w:val="auto"/>
          <w:sz w:val="28"/>
          <w:szCs w:val="28"/>
        </w:rPr>
        <w:t>（三）当事人基本情况</w:t>
      </w:r>
      <w:r>
        <w:rPr>
          <w:rFonts w:eastAsia="方正黑体简体"/>
          <w:bCs/>
          <w:color w:val="auto"/>
          <w:sz w:val="28"/>
          <w:szCs w:val="28"/>
        </w:rPr>
        <w:tab/>
      </w:r>
      <w:r>
        <w:rPr>
          <w:rFonts w:hint="eastAsia" w:eastAsia="方正黑体简体"/>
          <w:bCs/>
          <w:color w:val="auto"/>
          <w:sz w:val="28"/>
          <w:szCs w:val="28"/>
          <w:lang w:val="en-US" w:eastAsia="zh-CN"/>
        </w:rPr>
        <w:t>9</w:t>
      </w:r>
    </w:p>
    <w:p w14:paraId="2736FADD">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w:t>
      </w:r>
      <w:r>
        <w:rPr>
          <w:rFonts w:hint="eastAsia" w:eastAsia="楷体"/>
          <w:bCs/>
          <w:color w:val="auto"/>
          <w:sz w:val="28"/>
          <w:szCs w:val="28"/>
          <w:lang w:eastAsia="zh-CN"/>
        </w:rPr>
        <w:t>四</w:t>
      </w:r>
      <w:r>
        <w:rPr>
          <w:rFonts w:hint="eastAsia" w:eastAsia="楷体"/>
          <w:bCs/>
          <w:color w:val="auto"/>
          <w:sz w:val="28"/>
          <w:szCs w:val="28"/>
        </w:rPr>
        <w:t>）涉事车辆基本情况</w:t>
      </w:r>
      <w:r>
        <w:rPr>
          <w:rFonts w:eastAsia="方正黑体简体"/>
          <w:bCs/>
          <w:color w:val="auto"/>
          <w:sz w:val="28"/>
          <w:szCs w:val="28"/>
        </w:rPr>
        <w:tab/>
      </w:r>
      <w:r>
        <w:rPr>
          <w:rFonts w:hint="eastAsia" w:eastAsia="方正黑体简体"/>
          <w:bCs/>
          <w:color w:val="auto"/>
          <w:sz w:val="28"/>
          <w:szCs w:val="28"/>
          <w:lang w:val="en-US" w:eastAsia="zh-CN"/>
        </w:rPr>
        <w:t>10</w:t>
      </w:r>
    </w:p>
    <w:p w14:paraId="1C41A66D">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w:t>
      </w:r>
      <w:r>
        <w:rPr>
          <w:rFonts w:hint="eastAsia" w:eastAsia="楷体"/>
          <w:bCs/>
          <w:color w:val="auto"/>
          <w:sz w:val="28"/>
          <w:szCs w:val="28"/>
          <w:lang w:eastAsia="zh-CN"/>
        </w:rPr>
        <w:t>五</w:t>
      </w:r>
      <w:r>
        <w:rPr>
          <w:rFonts w:hint="eastAsia" w:eastAsia="楷体"/>
          <w:bCs/>
          <w:color w:val="auto"/>
          <w:sz w:val="28"/>
          <w:szCs w:val="28"/>
        </w:rPr>
        <w:t>）涉事车辆技术鉴定情况</w:t>
      </w:r>
      <w:r>
        <w:rPr>
          <w:rFonts w:eastAsia="方正黑体简体"/>
          <w:bCs/>
          <w:color w:val="auto"/>
          <w:sz w:val="28"/>
          <w:szCs w:val="28"/>
        </w:rPr>
        <w:tab/>
      </w:r>
      <w:r>
        <w:rPr>
          <w:rFonts w:hint="eastAsia" w:eastAsia="方正黑体简体"/>
          <w:bCs/>
          <w:color w:val="auto"/>
          <w:sz w:val="28"/>
          <w:szCs w:val="28"/>
          <w:lang w:val="en-US" w:eastAsia="zh-CN"/>
        </w:rPr>
        <w:t>11</w:t>
      </w:r>
    </w:p>
    <w:p w14:paraId="68C15306">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w:t>
      </w:r>
      <w:r>
        <w:rPr>
          <w:rFonts w:hint="eastAsia" w:eastAsia="楷体"/>
          <w:bCs/>
          <w:color w:val="auto"/>
          <w:sz w:val="28"/>
          <w:szCs w:val="28"/>
          <w:lang w:eastAsia="zh-CN"/>
        </w:rPr>
        <w:t>六</w:t>
      </w:r>
      <w:r>
        <w:rPr>
          <w:rFonts w:hint="eastAsia" w:eastAsia="楷体"/>
          <w:bCs/>
          <w:color w:val="auto"/>
          <w:sz w:val="28"/>
          <w:szCs w:val="28"/>
        </w:rPr>
        <w:t>）涉事企业安全管理情况</w:t>
      </w:r>
      <w:r>
        <w:rPr>
          <w:rFonts w:eastAsia="方正黑体简体"/>
          <w:bCs/>
          <w:color w:val="auto"/>
          <w:sz w:val="28"/>
          <w:szCs w:val="28"/>
        </w:rPr>
        <w:tab/>
      </w:r>
      <w:r>
        <w:rPr>
          <w:rFonts w:hint="eastAsia" w:eastAsia="方正黑体简体"/>
          <w:bCs/>
          <w:color w:val="auto"/>
          <w:sz w:val="28"/>
          <w:szCs w:val="28"/>
          <w:lang w:val="en-US" w:eastAsia="zh-CN"/>
        </w:rPr>
        <w:t>12</w:t>
      </w:r>
    </w:p>
    <w:p w14:paraId="5AF819B1">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w:t>
      </w:r>
      <w:r>
        <w:rPr>
          <w:rFonts w:hint="eastAsia" w:eastAsia="楷体"/>
          <w:bCs/>
          <w:color w:val="auto"/>
          <w:sz w:val="28"/>
          <w:szCs w:val="28"/>
          <w:lang w:eastAsia="zh-CN"/>
        </w:rPr>
        <w:t>七</w:t>
      </w:r>
      <w:r>
        <w:rPr>
          <w:rFonts w:hint="eastAsia" w:eastAsia="楷体"/>
          <w:bCs/>
          <w:color w:val="auto"/>
          <w:sz w:val="28"/>
          <w:szCs w:val="28"/>
        </w:rPr>
        <w:t>）事故路段情况</w:t>
      </w:r>
      <w:r>
        <w:rPr>
          <w:rFonts w:eastAsia="方正黑体简体"/>
          <w:bCs/>
          <w:color w:val="auto"/>
          <w:sz w:val="28"/>
          <w:szCs w:val="28"/>
        </w:rPr>
        <w:tab/>
      </w:r>
      <w:r>
        <w:rPr>
          <w:rFonts w:hint="eastAsia" w:eastAsia="方正黑体简体"/>
          <w:bCs/>
          <w:color w:val="auto"/>
          <w:sz w:val="28"/>
          <w:szCs w:val="28"/>
          <w:lang w:val="en-US" w:eastAsia="zh-CN"/>
        </w:rPr>
        <w:t>13</w:t>
      </w:r>
    </w:p>
    <w:p w14:paraId="51C1D1FE">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w:t>
      </w:r>
      <w:r>
        <w:rPr>
          <w:rFonts w:hint="eastAsia" w:eastAsia="楷体"/>
          <w:bCs/>
          <w:color w:val="auto"/>
          <w:sz w:val="28"/>
          <w:szCs w:val="28"/>
          <w:lang w:eastAsia="zh-CN"/>
        </w:rPr>
        <w:t>八</w:t>
      </w:r>
      <w:r>
        <w:rPr>
          <w:rFonts w:hint="eastAsia" w:eastAsia="楷体"/>
          <w:bCs/>
          <w:color w:val="auto"/>
          <w:sz w:val="28"/>
          <w:szCs w:val="28"/>
        </w:rPr>
        <w:t>）事故发生经过</w:t>
      </w:r>
      <w:r>
        <w:rPr>
          <w:rFonts w:eastAsia="方正黑体简体"/>
          <w:bCs/>
          <w:color w:val="auto"/>
          <w:sz w:val="28"/>
          <w:szCs w:val="28"/>
        </w:rPr>
        <w:tab/>
      </w:r>
      <w:r>
        <w:rPr>
          <w:rFonts w:hint="eastAsia" w:eastAsia="方正黑体简体"/>
          <w:bCs/>
          <w:color w:val="auto"/>
          <w:sz w:val="28"/>
          <w:szCs w:val="28"/>
          <w:lang w:val="en-US" w:eastAsia="zh-CN"/>
        </w:rPr>
        <w:t>13</w:t>
      </w:r>
    </w:p>
    <w:p w14:paraId="417D7742">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w:t>
      </w:r>
      <w:r>
        <w:rPr>
          <w:rFonts w:hint="eastAsia" w:eastAsia="楷体"/>
          <w:bCs/>
          <w:color w:val="auto"/>
          <w:sz w:val="28"/>
          <w:szCs w:val="28"/>
          <w:lang w:eastAsia="zh-CN"/>
        </w:rPr>
        <w:t>九</w:t>
      </w:r>
      <w:r>
        <w:rPr>
          <w:rFonts w:hint="eastAsia" w:eastAsia="楷体"/>
          <w:bCs/>
          <w:color w:val="auto"/>
          <w:sz w:val="28"/>
          <w:szCs w:val="28"/>
        </w:rPr>
        <w:t>）人员伤亡和直接经济损失情况</w:t>
      </w:r>
      <w:r>
        <w:rPr>
          <w:rFonts w:eastAsia="方正黑体简体"/>
          <w:bCs/>
          <w:color w:val="auto"/>
          <w:sz w:val="28"/>
          <w:szCs w:val="28"/>
        </w:rPr>
        <w:tab/>
      </w:r>
      <w:r>
        <w:rPr>
          <w:rFonts w:hint="eastAsia" w:eastAsia="方正黑体简体"/>
          <w:bCs/>
          <w:color w:val="auto"/>
          <w:sz w:val="28"/>
          <w:szCs w:val="28"/>
          <w:lang w:val="en-US" w:eastAsia="zh-CN"/>
        </w:rPr>
        <w:t>14</w:t>
      </w:r>
    </w:p>
    <w:p w14:paraId="741E03B2">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val="en-US" w:eastAsia="zh-CN"/>
        </w:rPr>
      </w:pPr>
      <w:r>
        <w:rPr>
          <w:color w:val="auto"/>
          <w:sz w:val="28"/>
          <w:szCs w:val="28"/>
        </w:rPr>
        <w:fldChar w:fldCharType="begin"/>
      </w:r>
      <w:r>
        <w:rPr>
          <w:color w:val="auto"/>
          <w:sz w:val="28"/>
          <w:szCs w:val="28"/>
        </w:rPr>
        <w:instrText xml:space="preserve"> HYPERLINK \l "_Toc6034" </w:instrText>
      </w:r>
      <w:r>
        <w:rPr>
          <w:color w:val="auto"/>
          <w:sz w:val="28"/>
          <w:szCs w:val="28"/>
        </w:rPr>
        <w:fldChar w:fldCharType="separate"/>
      </w:r>
      <w:r>
        <w:rPr>
          <w:rFonts w:eastAsia="方正黑体简体"/>
          <w:bCs/>
          <w:color w:val="auto"/>
          <w:sz w:val="28"/>
          <w:szCs w:val="28"/>
        </w:rPr>
        <w:t>二、</w:t>
      </w:r>
      <w:r>
        <w:rPr>
          <w:rFonts w:hint="eastAsia" w:eastAsia="方正黑体简体"/>
          <w:bCs/>
          <w:color w:val="auto"/>
          <w:sz w:val="28"/>
          <w:szCs w:val="28"/>
        </w:rPr>
        <w:t>事故应急处置及评估情况</w:t>
      </w:r>
      <w:r>
        <w:rPr>
          <w:rFonts w:eastAsia="方正黑体简体"/>
          <w:bCs/>
          <w:color w:val="auto"/>
          <w:sz w:val="28"/>
          <w:szCs w:val="28"/>
        </w:rPr>
        <w:tab/>
      </w:r>
      <w:r>
        <w:rPr>
          <w:rFonts w:hint="eastAsia" w:eastAsia="方正黑体简体"/>
          <w:bCs/>
          <w:color w:val="auto"/>
          <w:sz w:val="28"/>
          <w:szCs w:val="28"/>
          <w:lang w:val="en-US" w:eastAsia="zh-CN"/>
        </w:rPr>
        <w:t>1</w:t>
      </w:r>
      <w:r>
        <w:rPr>
          <w:rFonts w:eastAsia="方正黑体简体"/>
          <w:bCs/>
          <w:color w:val="auto"/>
          <w:sz w:val="28"/>
          <w:szCs w:val="28"/>
        </w:rPr>
        <w:fldChar w:fldCharType="end"/>
      </w:r>
      <w:r>
        <w:rPr>
          <w:rFonts w:hint="eastAsia" w:eastAsia="方正黑体简体"/>
          <w:bCs/>
          <w:color w:val="auto"/>
          <w:sz w:val="28"/>
          <w:szCs w:val="28"/>
          <w:lang w:val="en-US" w:eastAsia="zh-CN"/>
        </w:rPr>
        <w:t>4</w:t>
      </w:r>
    </w:p>
    <w:p w14:paraId="153664B3">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（一）事故信息接报及响应</w:t>
      </w:r>
      <w:r>
        <w:rPr>
          <w:rFonts w:hint="eastAsia" w:eastAsia="楷体"/>
          <w:bCs/>
          <w:color w:val="auto"/>
          <w:sz w:val="28"/>
          <w:szCs w:val="28"/>
          <w:lang w:eastAsia="zh-CN"/>
        </w:rPr>
        <w:t>情况</w:t>
      </w:r>
      <w:r>
        <w:rPr>
          <w:rFonts w:eastAsia="方正黑体简体"/>
          <w:bCs/>
          <w:color w:val="auto"/>
          <w:sz w:val="28"/>
          <w:szCs w:val="28"/>
        </w:rPr>
        <w:tab/>
      </w:r>
      <w:r>
        <w:rPr>
          <w:rFonts w:hint="eastAsia" w:eastAsia="方正黑体简体"/>
          <w:bCs/>
          <w:color w:val="auto"/>
          <w:sz w:val="28"/>
          <w:szCs w:val="28"/>
          <w:lang w:val="en-US" w:eastAsia="zh-CN"/>
        </w:rPr>
        <w:t>14</w:t>
      </w:r>
    </w:p>
    <w:p w14:paraId="694529D0">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楷体"/>
          <w:bCs/>
          <w:color w:val="auto"/>
          <w:sz w:val="28"/>
          <w:szCs w:val="28"/>
        </w:rPr>
        <w:t xml:space="preserve">   （二）事故现场应急处置情况</w:t>
      </w:r>
      <w:r>
        <w:rPr>
          <w:rFonts w:eastAsia="方正黑体简体"/>
          <w:bCs/>
          <w:color w:val="auto"/>
          <w:sz w:val="28"/>
          <w:szCs w:val="28"/>
        </w:rPr>
        <w:tab/>
      </w:r>
      <w:r>
        <w:rPr>
          <w:rFonts w:hint="eastAsia" w:eastAsia="方正黑体简体"/>
          <w:bCs/>
          <w:color w:val="auto"/>
          <w:sz w:val="28"/>
          <w:szCs w:val="28"/>
          <w:lang w:val="en-US" w:eastAsia="zh-CN"/>
        </w:rPr>
        <w:t>14</w:t>
      </w:r>
    </w:p>
    <w:p w14:paraId="1213C84C">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（三）医疗救治和善后情况</w:t>
      </w:r>
      <w:r>
        <w:rPr>
          <w:rFonts w:eastAsia="方正黑体简体"/>
          <w:bCs/>
          <w:color w:val="auto"/>
          <w:sz w:val="28"/>
          <w:szCs w:val="28"/>
        </w:rPr>
        <w:tab/>
      </w:r>
      <w:r>
        <w:rPr>
          <w:rFonts w:hint="eastAsia" w:eastAsia="方正黑体简体"/>
          <w:bCs/>
          <w:color w:val="auto"/>
          <w:sz w:val="28"/>
          <w:szCs w:val="28"/>
          <w:lang w:val="en-US" w:eastAsia="zh-CN"/>
        </w:rPr>
        <w:t>14</w:t>
      </w:r>
    </w:p>
    <w:p w14:paraId="2FC93B8C">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default" w:eastAsia="方正黑体简体"/>
          <w:bCs/>
          <w:color w:val="auto"/>
          <w:sz w:val="28"/>
          <w:szCs w:val="28"/>
          <w:lang w:val="en-US" w:eastAsia="zh-CN"/>
        </w:rPr>
      </w:pPr>
      <w:r>
        <w:rPr>
          <w:rFonts w:hint="eastAsia" w:eastAsia="方正黑体简体"/>
          <w:bCs/>
          <w:color w:val="auto"/>
          <w:sz w:val="28"/>
          <w:szCs w:val="28"/>
        </w:rPr>
        <w:t xml:space="preserve">   </w:t>
      </w:r>
      <w:r>
        <w:rPr>
          <w:rFonts w:hint="eastAsia" w:eastAsia="楷体"/>
          <w:bCs/>
          <w:color w:val="auto"/>
          <w:sz w:val="28"/>
          <w:szCs w:val="28"/>
        </w:rPr>
        <w:t>（</w:t>
      </w:r>
      <w:r>
        <w:rPr>
          <w:rFonts w:hint="eastAsia" w:eastAsia="楷体"/>
          <w:bCs/>
          <w:color w:val="auto"/>
          <w:sz w:val="28"/>
          <w:szCs w:val="28"/>
          <w:lang w:eastAsia="zh-CN"/>
        </w:rPr>
        <w:t>四</w:t>
      </w:r>
      <w:r>
        <w:rPr>
          <w:rFonts w:hint="eastAsia" w:eastAsia="楷体"/>
          <w:bCs/>
          <w:color w:val="auto"/>
          <w:sz w:val="28"/>
          <w:szCs w:val="28"/>
        </w:rPr>
        <w:t>）事故应急处置评估</w:t>
      </w:r>
      <w:r>
        <w:rPr>
          <w:rFonts w:eastAsia="方正黑体简体"/>
          <w:bCs/>
          <w:color w:val="auto"/>
          <w:sz w:val="28"/>
          <w:szCs w:val="28"/>
        </w:rPr>
        <w:tab/>
      </w:r>
      <w:r>
        <w:rPr>
          <w:rFonts w:hint="eastAsia" w:eastAsia="方正黑体简体"/>
          <w:bCs/>
          <w:color w:val="auto"/>
          <w:sz w:val="28"/>
          <w:szCs w:val="28"/>
          <w:lang w:val="en-US" w:eastAsia="zh-CN"/>
        </w:rPr>
        <w:t>15</w:t>
      </w:r>
    </w:p>
    <w:p w14:paraId="3E99E18B">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val="en-US" w:eastAsia="zh-CN"/>
        </w:rPr>
      </w:pPr>
      <w:r>
        <w:rPr>
          <w:color w:val="auto"/>
          <w:sz w:val="28"/>
          <w:szCs w:val="28"/>
        </w:rPr>
        <w:fldChar w:fldCharType="begin"/>
      </w:r>
      <w:r>
        <w:rPr>
          <w:color w:val="auto"/>
          <w:sz w:val="28"/>
          <w:szCs w:val="28"/>
        </w:rPr>
        <w:instrText xml:space="preserve"> HYPERLINK \l "_Toc6042" </w:instrText>
      </w:r>
      <w:r>
        <w:rPr>
          <w:color w:val="auto"/>
          <w:sz w:val="28"/>
          <w:szCs w:val="28"/>
        </w:rPr>
        <w:fldChar w:fldCharType="separate"/>
      </w:r>
      <w:r>
        <w:rPr>
          <w:rFonts w:eastAsia="方正黑体简体"/>
          <w:bCs/>
          <w:color w:val="auto"/>
          <w:sz w:val="28"/>
          <w:szCs w:val="28"/>
        </w:rPr>
        <w:t>三、</w:t>
      </w:r>
      <w:r>
        <w:rPr>
          <w:rFonts w:hint="eastAsia" w:eastAsia="方正黑体简体"/>
          <w:bCs/>
          <w:color w:val="auto"/>
          <w:sz w:val="28"/>
          <w:szCs w:val="28"/>
        </w:rPr>
        <w:t>事故原因分析</w:t>
      </w:r>
      <w:r>
        <w:rPr>
          <w:rFonts w:eastAsia="方正黑体简体"/>
          <w:bCs/>
          <w:color w:val="auto"/>
          <w:sz w:val="28"/>
          <w:szCs w:val="28"/>
        </w:rPr>
        <w:tab/>
      </w:r>
      <w:r>
        <w:rPr>
          <w:rFonts w:hint="eastAsia" w:eastAsia="方正黑体简体"/>
          <w:bCs/>
          <w:color w:val="auto"/>
          <w:sz w:val="28"/>
          <w:szCs w:val="28"/>
          <w:lang w:val="en-US" w:eastAsia="zh-CN"/>
        </w:rPr>
        <w:t>1</w:t>
      </w:r>
      <w:r>
        <w:rPr>
          <w:rFonts w:hint="eastAsia" w:eastAsia="方正黑体简体"/>
          <w:bCs/>
          <w:color w:val="auto"/>
          <w:sz w:val="28"/>
          <w:szCs w:val="28"/>
        </w:rPr>
        <w:fldChar w:fldCharType="end"/>
      </w:r>
      <w:r>
        <w:rPr>
          <w:rFonts w:hint="eastAsia" w:eastAsia="方正黑体简体"/>
          <w:bCs/>
          <w:color w:val="auto"/>
          <w:sz w:val="28"/>
          <w:szCs w:val="28"/>
          <w:lang w:val="en-US" w:eastAsia="zh-CN"/>
        </w:rPr>
        <w:t>5</w:t>
      </w:r>
    </w:p>
    <w:p w14:paraId="7380931B">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val="en-US" w:eastAsia="zh-CN"/>
        </w:rPr>
      </w:pPr>
      <w:r>
        <w:rPr>
          <w:color w:val="auto"/>
          <w:sz w:val="28"/>
          <w:szCs w:val="28"/>
        </w:rPr>
        <w:fldChar w:fldCharType="begin"/>
      </w:r>
      <w:r>
        <w:rPr>
          <w:color w:val="auto"/>
          <w:sz w:val="28"/>
          <w:szCs w:val="28"/>
        </w:rPr>
        <w:instrText xml:space="preserve"> HYPERLINK \l "_Toc5239" </w:instrText>
      </w:r>
      <w:r>
        <w:rPr>
          <w:color w:val="auto"/>
          <w:sz w:val="28"/>
          <w:szCs w:val="28"/>
        </w:rPr>
        <w:fldChar w:fldCharType="separate"/>
      </w:r>
      <w:r>
        <w:rPr>
          <w:rFonts w:eastAsia="方正黑体简体"/>
          <w:bCs/>
          <w:color w:val="auto"/>
          <w:sz w:val="28"/>
          <w:szCs w:val="28"/>
        </w:rPr>
        <w:t>四、</w:t>
      </w:r>
      <w:r>
        <w:rPr>
          <w:rFonts w:hint="eastAsia" w:eastAsia="方正黑体简体"/>
          <w:bCs/>
          <w:color w:val="auto"/>
          <w:sz w:val="28"/>
          <w:szCs w:val="28"/>
        </w:rPr>
        <w:t>有关监管部门存在的主要问题</w:t>
      </w:r>
      <w:r>
        <w:rPr>
          <w:rFonts w:eastAsia="方正黑体简体"/>
          <w:bCs/>
          <w:color w:val="auto"/>
          <w:sz w:val="28"/>
          <w:szCs w:val="28"/>
        </w:rPr>
        <w:tab/>
      </w:r>
      <w:r>
        <w:rPr>
          <w:rFonts w:hint="eastAsia" w:eastAsia="方正黑体简体"/>
          <w:bCs/>
          <w:color w:val="auto"/>
          <w:sz w:val="28"/>
          <w:szCs w:val="28"/>
          <w:lang w:val="en-US" w:eastAsia="zh-CN"/>
        </w:rPr>
        <w:t>1</w:t>
      </w:r>
      <w:r>
        <w:rPr>
          <w:rFonts w:eastAsia="方正黑体简体"/>
          <w:bCs/>
          <w:color w:val="auto"/>
          <w:sz w:val="28"/>
          <w:szCs w:val="28"/>
        </w:rPr>
        <w:fldChar w:fldCharType="end"/>
      </w:r>
      <w:r>
        <w:rPr>
          <w:rFonts w:hint="eastAsia" w:eastAsia="方正黑体简体"/>
          <w:bCs/>
          <w:color w:val="auto"/>
          <w:sz w:val="28"/>
          <w:szCs w:val="28"/>
          <w:lang w:val="en-US" w:eastAsia="zh-CN"/>
        </w:rPr>
        <w:t>5</w:t>
      </w:r>
    </w:p>
    <w:p w14:paraId="2C4CD3E5">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val="en-US" w:eastAsia="zh-CN"/>
        </w:rPr>
      </w:pPr>
      <w:r>
        <w:rPr>
          <w:color w:val="auto"/>
          <w:sz w:val="28"/>
          <w:szCs w:val="28"/>
        </w:rPr>
        <w:fldChar w:fldCharType="begin"/>
      </w:r>
      <w:r>
        <w:rPr>
          <w:color w:val="auto"/>
          <w:sz w:val="28"/>
          <w:szCs w:val="28"/>
        </w:rPr>
        <w:instrText xml:space="preserve"> HYPERLINK \l "_Toc18805" </w:instrText>
      </w:r>
      <w:r>
        <w:rPr>
          <w:color w:val="auto"/>
          <w:sz w:val="28"/>
          <w:szCs w:val="28"/>
        </w:rPr>
        <w:fldChar w:fldCharType="separate"/>
      </w:r>
      <w:r>
        <w:rPr>
          <w:rFonts w:eastAsia="方正黑体简体"/>
          <w:bCs/>
          <w:color w:val="auto"/>
          <w:sz w:val="28"/>
          <w:szCs w:val="28"/>
        </w:rPr>
        <w:t>五、</w:t>
      </w:r>
      <w:r>
        <w:rPr>
          <w:rFonts w:hint="eastAsia" w:eastAsia="方正黑体简体"/>
          <w:bCs/>
          <w:color w:val="auto"/>
          <w:sz w:val="28"/>
          <w:szCs w:val="28"/>
        </w:rPr>
        <w:t>对有关责任人员和责任单位的处理建议</w:t>
      </w:r>
      <w:r>
        <w:rPr>
          <w:rFonts w:eastAsia="方正黑体简体"/>
          <w:bCs/>
          <w:color w:val="auto"/>
          <w:sz w:val="28"/>
          <w:szCs w:val="28"/>
        </w:rPr>
        <w:tab/>
      </w:r>
      <w:r>
        <w:rPr>
          <w:rFonts w:hint="eastAsia" w:eastAsia="方正黑体简体"/>
          <w:bCs/>
          <w:color w:val="auto"/>
          <w:sz w:val="28"/>
          <w:szCs w:val="28"/>
          <w:lang w:val="en-US" w:eastAsia="zh-CN"/>
        </w:rPr>
        <w:t>1</w:t>
      </w:r>
      <w:r>
        <w:rPr>
          <w:rFonts w:hint="eastAsia" w:eastAsia="方正黑体简体"/>
          <w:bCs/>
          <w:color w:val="auto"/>
          <w:sz w:val="28"/>
          <w:szCs w:val="28"/>
        </w:rPr>
        <w:fldChar w:fldCharType="end"/>
      </w:r>
      <w:r>
        <w:rPr>
          <w:rFonts w:hint="eastAsia" w:eastAsia="方正黑体简体"/>
          <w:bCs/>
          <w:color w:val="auto"/>
          <w:sz w:val="28"/>
          <w:szCs w:val="28"/>
          <w:lang w:val="en-US" w:eastAsia="zh-CN"/>
        </w:rPr>
        <w:t>6</w:t>
      </w:r>
    </w:p>
    <w:p w14:paraId="66E3195D">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color w:val="auto"/>
          <w:sz w:val="28"/>
          <w:szCs w:val="28"/>
        </w:rPr>
        <w:fldChar w:fldCharType="begin"/>
      </w:r>
      <w:r>
        <w:rPr>
          <w:color w:val="auto"/>
          <w:sz w:val="28"/>
          <w:szCs w:val="28"/>
        </w:rPr>
        <w:instrText xml:space="preserve"> HYPERLINK \l "_Toc17564" </w:instrText>
      </w:r>
      <w:r>
        <w:rPr>
          <w:color w:val="auto"/>
          <w:sz w:val="28"/>
          <w:szCs w:val="28"/>
        </w:rPr>
        <w:fldChar w:fldCharType="separate"/>
      </w:r>
      <w:r>
        <w:rPr>
          <w:rFonts w:eastAsia="楷体"/>
          <w:bCs/>
          <w:color w:val="auto"/>
          <w:sz w:val="28"/>
          <w:szCs w:val="28"/>
        </w:rPr>
        <w:t>（一）</w:t>
      </w:r>
      <w:r>
        <w:rPr>
          <w:rFonts w:hint="eastAsia" w:eastAsia="楷体"/>
          <w:bCs/>
          <w:color w:val="auto"/>
          <w:sz w:val="28"/>
          <w:szCs w:val="28"/>
        </w:rPr>
        <w:t>因在事故中死亡免予或不予追究责任人员</w:t>
      </w:r>
      <w:r>
        <w:rPr>
          <w:rFonts w:eastAsia="楷体"/>
          <w:bCs/>
          <w:color w:val="auto"/>
          <w:sz w:val="28"/>
          <w:szCs w:val="28"/>
        </w:rPr>
        <w:tab/>
      </w:r>
      <w:r>
        <w:rPr>
          <w:rFonts w:hint="eastAsia" w:eastAsia="楷体"/>
          <w:bCs/>
          <w:color w:val="auto"/>
          <w:sz w:val="28"/>
          <w:szCs w:val="28"/>
          <w:lang w:val="en-US" w:eastAsia="zh-CN"/>
        </w:rPr>
        <w:t>1</w:t>
      </w:r>
      <w:r>
        <w:rPr>
          <w:rFonts w:hint="eastAsia" w:eastAsia="楷体"/>
          <w:bCs/>
          <w:color w:val="auto"/>
          <w:sz w:val="28"/>
          <w:szCs w:val="28"/>
        </w:rPr>
        <w:fldChar w:fldCharType="end"/>
      </w:r>
      <w:r>
        <w:rPr>
          <w:rFonts w:hint="eastAsia" w:eastAsia="楷体"/>
          <w:bCs/>
          <w:color w:val="auto"/>
          <w:sz w:val="28"/>
          <w:szCs w:val="28"/>
          <w:lang w:val="en-US" w:eastAsia="zh-CN"/>
        </w:rPr>
        <w:t>6</w:t>
      </w:r>
    </w:p>
    <w:p w14:paraId="654C17E7">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color w:val="auto"/>
          <w:sz w:val="28"/>
          <w:szCs w:val="28"/>
        </w:rPr>
        <w:fldChar w:fldCharType="begin"/>
      </w:r>
      <w:r>
        <w:rPr>
          <w:color w:val="auto"/>
          <w:sz w:val="28"/>
          <w:szCs w:val="28"/>
        </w:rPr>
        <w:instrText xml:space="preserve"> HYPERLINK \l "_Toc26683" </w:instrText>
      </w:r>
      <w:r>
        <w:rPr>
          <w:color w:val="auto"/>
          <w:sz w:val="28"/>
          <w:szCs w:val="28"/>
        </w:rPr>
        <w:fldChar w:fldCharType="separate"/>
      </w:r>
      <w:r>
        <w:rPr>
          <w:rFonts w:eastAsia="楷体"/>
          <w:bCs/>
          <w:color w:val="auto"/>
          <w:sz w:val="28"/>
          <w:szCs w:val="28"/>
        </w:rPr>
        <w:t>（</w:t>
      </w:r>
      <w:r>
        <w:rPr>
          <w:rFonts w:hint="eastAsia" w:eastAsia="楷体"/>
          <w:bCs/>
          <w:color w:val="auto"/>
          <w:sz w:val="28"/>
          <w:szCs w:val="28"/>
          <w:lang w:eastAsia="zh-CN"/>
        </w:rPr>
        <w:t>二</w:t>
      </w:r>
      <w:r>
        <w:rPr>
          <w:rFonts w:eastAsia="楷体"/>
          <w:bCs/>
          <w:color w:val="auto"/>
          <w:sz w:val="28"/>
          <w:szCs w:val="28"/>
        </w:rPr>
        <w:t>）</w:t>
      </w:r>
      <w:r>
        <w:rPr>
          <w:rFonts w:hint="eastAsia" w:eastAsia="楷体"/>
          <w:bCs/>
          <w:color w:val="auto"/>
          <w:sz w:val="28"/>
          <w:szCs w:val="28"/>
        </w:rPr>
        <w:t>对有关企业人员的处理建议</w:t>
      </w:r>
      <w:r>
        <w:rPr>
          <w:rFonts w:eastAsia="方正黑体简体"/>
          <w:bCs/>
          <w:color w:val="auto"/>
          <w:sz w:val="28"/>
          <w:szCs w:val="28"/>
        </w:rPr>
        <w:tab/>
      </w:r>
      <w:r>
        <w:rPr>
          <w:rFonts w:hint="eastAsia" w:eastAsia="楷体"/>
          <w:bCs/>
          <w:color w:val="auto"/>
          <w:sz w:val="28"/>
          <w:szCs w:val="28"/>
          <w:lang w:val="en-US" w:eastAsia="zh-CN"/>
        </w:rPr>
        <w:t>1</w:t>
      </w:r>
      <w:r>
        <w:rPr>
          <w:rFonts w:eastAsia="楷体"/>
          <w:bCs/>
          <w:color w:val="auto"/>
          <w:sz w:val="28"/>
          <w:szCs w:val="28"/>
        </w:rPr>
        <w:fldChar w:fldCharType="end"/>
      </w:r>
      <w:r>
        <w:rPr>
          <w:rFonts w:hint="eastAsia" w:eastAsia="楷体"/>
          <w:bCs/>
          <w:color w:val="auto"/>
          <w:sz w:val="28"/>
          <w:szCs w:val="28"/>
          <w:lang w:val="en-US" w:eastAsia="zh-CN"/>
        </w:rPr>
        <w:t>6</w:t>
      </w:r>
    </w:p>
    <w:p w14:paraId="409008E4">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color w:val="auto"/>
          <w:sz w:val="28"/>
          <w:szCs w:val="28"/>
        </w:rPr>
        <w:fldChar w:fldCharType="begin"/>
      </w:r>
      <w:r>
        <w:rPr>
          <w:color w:val="auto"/>
          <w:sz w:val="28"/>
          <w:szCs w:val="28"/>
        </w:rPr>
        <w:instrText xml:space="preserve"> HYPERLINK \l "_Toc26683" </w:instrText>
      </w:r>
      <w:r>
        <w:rPr>
          <w:color w:val="auto"/>
          <w:sz w:val="28"/>
          <w:szCs w:val="28"/>
        </w:rPr>
        <w:fldChar w:fldCharType="separate"/>
      </w:r>
      <w:r>
        <w:rPr>
          <w:rFonts w:eastAsia="楷体"/>
          <w:bCs/>
          <w:color w:val="auto"/>
          <w:sz w:val="28"/>
          <w:szCs w:val="28"/>
        </w:rPr>
        <w:t>（</w:t>
      </w:r>
      <w:r>
        <w:rPr>
          <w:rFonts w:hint="eastAsia" w:eastAsia="楷体"/>
          <w:bCs/>
          <w:color w:val="auto"/>
          <w:sz w:val="28"/>
          <w:szCs w:val="28"/>
          <w:lang w:eastAsia="zh-CN"/>
        </w:rPr>
        <w:t>三</w:t>
      </w:r>
      <w:r>
        <w:rPr>
          <w:rFonts w:eastAsia="楷体"/>
          <w:bCs/>
          <w:color w:val="auto"/>
          <w:sz w:val="28"/>
          <w:szCs w:val="28"/>
        </w:rPr>
        <w:t>）</w:t>
      </w:r>
      <w:r>
        <w:rPr>
          <w:rFonts w:hint="eastAsia" w:eastAsia="楷体"/>
          <w:bCs/>
          <w:color w:val="auto"/>
          <w:sz w:val="28"/>
          <w:szCs w:val="28"/>
        </w:rPr>
        <w:t>对事故有关责任单位的行政处罚建议</w:t>
      </w:r>
      <w:r>
        <w:rPr>
          <w:rFonts w:eastAsia="方正黑体简体"/>
          <w:bCs/>
          <w:color w:val="auto"/>
          <w:sz w:val="28"/>
          <w:szCs w:val="28"/>
        </w:rPr>
        <w:tab/>
      </w:r>
      <w:r>
        <w:rPr>
          <w:rFonts w:hint="eastAsia" w:eastAsia="楷体"/>
          <w:bCs/>
          <w:color w:val="auto"/>
          <w:sz w:val="28"/>
          <w:szCs w:val="28"/>
          <w:lang w:val="en-US" w:eastAsia="zh-CN"/>
        </w:rPr>
        <w:t>1</w:t>
      </w:r>
      <w:r>
        <w:rPr>
          <w:rFonts w:eastAsia="楷体"/>
          <w:bCs/>
          <w:color w:val="auto"/>
          <w:sz w:val="28"/>
          <w:szCs w:val="28"/>
        </w:rPr>
        <w:fldChar w:fldCharType="end"/>
      </w:r>
      <w:r>
        <w:rPr>
          <w:rFonts w:hint="eastAsia" w:eastAsia="楷体"/>
          <w:bCs/>
          <w:color w:val="auto"/>
          <w:sz w:val="28"/>
          <w:szCs w:val="28"/>
          <w:lang w:val="en-US" w:eastAsia="zh-CN"/>
        </w:rPr>
        <w:t>7</w:t>
      </w:r>
    </w:p>
    <w:p w14:paraId="0C04961F">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color w:val="auto"/>
          <w:sz w:val="28"/>
          <w:szCs w:val="28"/>
        </w:rPr>
        <w:fldChar w:fldCharType="begin"/>
      </w:r>
      <w:r>
        <w:rPr>
          <w:color w:val="auto"/>
          <w:sz w:val="28"/>
          <w:szCs w:val="28"/>
        </w:rPr>
        <w:instrText xml:space="preserve"> HYPERLINK \l "_Toc26683" </w:instrText>
      </w:r>
      <w:r>
        <w:rPr>
          <w:color w:val="auto"/>
          <w:sz w:val="28"/>
          <w:szCs w:val="28"/>
        </w:rPr>
        <w:fldChar w:fldCharType="separate"/>
      </w:r>
      <w:r>
        <w:rPr>
          <w:rFonts w:eastAsia="楷体"/>
          <w:bCs/>
          <w:color w:val="auto"/>
          <w:sz w:val="28"/>
          <w:szCs w:val="28"/>
        </w:rPr>
        <w:t>（</w:t>
      </w:r>
      <w:r>
        <w:rPr>
          <w:rFonts w:hint="eastAsia" w:eastAsia="楷体"/>
          <w:bCs/>
          <w:color w:val="auto"/>
          <w:sz w:val="28"/>
          <w:szCs w:val="28"/>
          <w:lang w:eastAsia="zh-CN"/>
        </w:rPr>
        <w:t>四</w:t>
      </w:r>
      <w:r>
        <w:rPr>
          <w:rFonts w:eastAsia="楷体"/>
          <w:bCs/>
          <w:color w:val="auto"/>
          <w:sz w:val="28"/>
          <w:szCs w:val="28"/>
        </w:rPr>
        <w:t>）</w:t>
      </w:r>
      <w:r>
        <w:rPr>
          <w:rFonts w:hint="eastAsia" w:eastAsia="楷体"/>
          <w:bCs/>
          <w:color w:val="auto"/>
          <w:sz w:val="28"/>
          <w:szCs w:val="28"/>
        </w:rPr>
        <w:t>对有关部门的处理建议</w:t>
      </w:r>
      <w:r>
        <w:rPr>
          <w:rFonts w:eastAsia="方正黑体简体"/>
          <w:bCs/>
          <w:color w:val="auto"/>
          <w:sz w:val="28"/>
          <w:szCs w:val="28"/>
        </w:rPr>
        <w:tab/>
      </w:r>
      <w:r>
        <w:rPr>
          <w:rFonts w:hint="eastAsia" w:eastAsia="楷体"/>
          <w:bCs/>
          <w:color w:val="auto"/>
          <w:sz w:val="28"/>
          <w:szCs w:val="28"/>
          <w:lang w:val="en-US" w:eastAsia="zh-CN"/>
        </w:rPr>
        <w:t>1</w:t>
      </w:r>
      <w:r>
        <w:rPr>
          <w:rFonts w:eastAsia="楷体"/>
          <w:bCs/>
          <w:color w:val="auto"/>
          <w:sz w:val="28"/>
          <w:szCs w:val="28"/>
        </w:rPr>
        <w:fldChar w:fldCharType="end"/>
      </w:r>
      <w:r>
        <w:rPr>
          <w:rFonts w:hint="eastAsia" w:eastAsia="楷体"/>
          <w:bCs/>
          <w:color w:val="auto"/>
          <w:sz w:val="28"/>
          <w:szCs w:val="28"/>
          <w:lang w:val="en-US" w:eastAsia="zh-CN"/>
        </w:rPr>
        <w:t>7</w:t>
      </w:r>
    </w:p>
    <w:p w14:paraId="69CD4C1F">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color w:val="auto"/>
          <w:sz w:val="28"/>
          <w:szCs w:val="28"/>
        </w:rPr>
        <w:fldChar w:fldCharType="begin"/>
      </w:r>
      <w:r>
        <w:rPr>
          <w:color w:val="auto"/>
          <w:sz w:val="28"/>
          <w:szCs w:val="28"/>
        </w:rPr>
        <w:instrText xml:space="preserve"> HYPERLINK \l "_Toc26683" </w:instrText>
      </w:r>
      <w:r>
        <w:rPr>
          <w:color w:val="auto"/>
          <w:sz w:val="28"/>
          <w:szCs w:val="28"/>
        </w:rPr>
        <w:fldChar w:fldCharType="separate"/>
      </w:r>
      <w:r>
        <w:rPr>
          <w:rFonts w:eastAsia="楷体"/>
          <w:bCs/>
          <w:color w:val="auto"/>
          <w:sz w:val="28"/>
          <w:szCs w:val="28"/>
        </w:rPr>
        <w:t>（</w:t>
      </w:r>
      <w:r>
        <w:rPr>
          <w:rFonts w:hint="eastAsia" w:eastAsia="楷体"/>
          <w:bCs/>
          <w:color w:val="auto"/>
          <w:sz w:val="28"/>
          <w:szCs w:val="28"/>
          <w:lang w:eastAsia="zh-CN"/>
        </w:rPr>
        <w:t>五</w:t>
      </w:r>
      <w:r>
        <w:rPr>
          <w:rFonts w:eastAsia="楷体"/>
          <w:bCs/>
          <w:color w:val="auto"/>
          <w:sz w:val="28"/>
          <w:szCs w:val="28"/>
        </w:rPr>
        <w:t>）</w:t>
      </w:r>
      <w:r>
        <w:rPr>
          <w:rFonts w:hint="eastAsia" w:eastAsia="楷体"/>
          <w:bCs/>
          <w:color w:val="auto"/>
          <w:sz w:val="28"/>
          <w:szCs w:val="28"/>
        </w:rPr>
        <w:t>其他处理建议</w:t>
      </w:r>
      <w:r>
        <w:rPr>
          <w:rFonts w:eastAsia="方正黑体简体"/>
          <w:bCs/>
          <w:color w:val="auto"/>
          <w:sz w:val="28"/>
          <w:szCs w:val="28"/>
        </w:rPr>
        <w:tab/>
      </w:r>
      <w:r>
        <w:rPr>
          <w:rFonts w:hint="eastAsia" w:eastAsia="楷体"/>
          <w:bCs/>
          <w:color w:val="auto"/>
          <w:sz w:val="28"/>
          <w:szCs w:val="28"/>
          <w:lang w:val="en-US" w:eastAsia="zh-CN"/>
        </w:rPr>
        <w:t>1</w:t>
      </w:r>
      <w:r>
        <w:rPr>
          <w:rFonts w:eastAsia="楷体"/>
          <w:bCs/>
          <w:color w:val="auto"/>
          <w:sz w:val="28"/>
          <w:szCs w:val="28"/>
        </w:rPr>
        <w:fldChar w:fldCharType="end"/>
      </w:r>
      <w:r>
        <w:rPr>
          <w:rFonts w:hint="eastAsia" w:eastAsia="楷体"/>
          <w:bCs/>
          <w:color w:val="auto"/>
          <w:sz w:val="28"/>
          <w:szCs w:val="28"/>
          <w:lang w:val="en-US" w:eastAsia="zh-CN"/>
        </w:rPr>
        <w:t>7</w:t>
      </w:r>
    </w:p>
    <w:p w14:paraId="149CCB31">
      <w:pPr>
        <w:pStyle w:val="10"/>
        <w:keepNext w:val="0"/>
        <w:keepLines w:val="0"/>
        <w:pageBreakBefore w:val="0"/>
        <w:tabs>
          <w:tab w:val="right" w:leader="dot" w:pos="9064"/>
        </w:tabs>
        <w:kinsoku/>
        <w:wordWrap w:val="0"/>
        <w:overflowPunct/>
        <w:topLinePunct w:val="0"/>
        <w:autoSpaceDE/>
        <w:autoSpaceDN/>
        <w:bidi w:val="0"/>
        <w:adjustRightInd/>
        <w:snapToGrid/>
        <w:spacing w:line="590" w:lineRule="exact"/>
        <w:textAlignment w:val="auto"/>
        <w:rPr>
          <w:rFonts w:hint="eastAsia" w:eastAsia="方正黑体简体"/>
          <w:bCs/>
          <w:color w:val="auto"/>
          <w:sz w:val="28"/>
          <w:szCs w:val="28"/>
          <w:lang w:val="en-US" w:eastAsia="zh-CN"/>
        </w:rPr>
      </w:pPr>
      <w:r>
        <w:rPr>
          <w:color w:val="auto"/>
          <w:sz w:val="28"/>
          <w:szCs w:val="28"/>
        </w:rPr>
        <w:fldChar w:fldCharType="begin"/>
      </w:r>
      <w:r>
        <w:rPr>
          <w:color w:val="auto"/>
          <w:sz w:val="28"/>
          <w:szCs w:val="28"/>
        </w:rPr>
        <w:instrText xml:space="preserve"> HYPERLINK \l "_Toc14551" </w:instrText>
      </w:r>
      <w:r>
        <w:rPr>
          <w:color w:val="auto"/>
          <w:sz w:val="28"/>
          <w:szCs w:val="28"/>
        </w:rPr>
        <w:fldChar w:fldCharType="separate"/>
      </w:r>
      <w:r>
        <w:rPr>
          <w:rFonts w:eastAsia="方正黑体简体"/>
          <w:bCs/>
          <w:color w:val="auto"/>
          <w:sz w:val="28"/>
          <w:szCs w:val="28"/>
        </w:rPr>
        <w:t>六、</w:t>
      </w:r>
      <w:r>
        <w:rPr>
          <w:rFonts w:hint="eastAsia" w:eastAsia="方正黑体简体"/>
          <w:bCs/>
          <w:color w:val="auto"/>
          <w:sz w:val="28"/>
          <w:szCs w:val="28"/>
        </w:rPr>
        <w:t>事故整改和防范措施</w:t>
      </w:r>
      <w:r>
        <w:rPr>
          <w:rFonts w:eastAsia="方正黑体简体"/>
          <w:bCs/>
          <w:color w:val="auto"/>
          <w:sz w:val="28"/>
          <w:szCs w:val="28"/>
        </w:rPr>
        <w:tab/>
      </w:r>
      <w:r>
        <w:rPr>
          <w:rFonts w:hint="eastAsia" w:eastAsia="方正黑体简体"/>
          <w:bCs/>
          <w:color w:val="auto"/>
          <w:sz w:val="28"/>
          <w:szCs w:val="28"/>
          <w:lang w:val="en-US" w:eastAsia="zh-CN"/>
        </w:rPr>
        <w:t>1</w:t>
      </w:r>
      <w:r>
        <w:rPr>
          <w:rFonts w:hint="eastAsia" w:eastAsia="方正黑体简体"/>
          <w:bCs/>
          <w:color w:val="auto"/>
          <w:sz w:val="28"/>
          <w:szCs w:val="28"/>
        </w:rPr>
        <w:fldChar w:fldCharType="end"/>
      </w:r>
      <w:r>
        <w:rPr>
          <w:rFonts w:hint="eastAsia" w:eastAsia="方正黑体简体"/>
          <w:bCs/>
          <w:color w:val="auto"/>
          <w:sz w:val="28"/>
          <w:szCs w:val="28"/>
          <w:lang w:val="en-US" w:eastAsia="zh-CN"/>
        </w:rPr>
        <w:t>8</w:t>
      </w:r>
    </w:p>
    <w:p w14:paraId="4C55C954">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rFonts w:ascii="Times New Roman" w:hAnsi="Times New Roman" w:eastAsia="黑体" w:cs="Times New Roman"/>
          <w:b/>
          <w:color w:val="auto"/>
          <w:sz w:val="28"/>
          <w:szCs w:val="28"/>
        </w:rPr>
        <w:fldChar w:fldCharType="end"/>
      </w:r>
      <w:r>
        <w:rPr>
          <w:color w:val="auto"/>
          <w:sz w:val="28"/>
          <w:szCs w:val="28"/>
        </w:rPr>
        <w:fldChar w:fldCharType="begin"/>
      </w:r>
      <w:r>
        <w:rPr>
          <w:color w:val="auto"/>
          <w:sz w:val="28"/>
          <w:szCs w:val="28"/>
        </w:rPr>
        <w:instrText xml:space="preserve"> HYPERLINK \l "_Toc17564" </w:instrText>
      </w:r>
      <w:r>
        <w:rPr>
          <w:color w:val="auto"/>
          <w:sz w:val="28"/>
          <w:szCs w:val="28"/>
        </w:rPr>
        <w:fldChar w:fldCharType="separate"/>
      </w:r>
      <w:r>
        <w:rPr>
          <w:rFonts w:eastAsia="楷体"/>
          <w:bCs/>
          <w:color w:val="auto"/>
          <w:sz w:val="28"/>
          <w:szCs w:val="28"/>
        </w:rPr>
        <w:t>（一）</w:t>
      </w:r>
      <w:r>
        <w:rPr>
          <w:rFonts w:hint="eastAsia" w:eastAsia="楷体"/>
          <w:bCs/>
          <w:color w:val="auto"/>
          <w:sz w:val="28"/>
          <w:szCs w:val="28"/>
        </w:rPr>
        <w:t>落实企业安全生产主体责任</w:t>
      </w:r>
      <w:r>
        <w:rPr>
          <w:rFonts w:eastAsia="楷体"/>
          <w:bCs/>
          <w:color w:val="auto"/>
          <w:sz w:val="28"/>
          <w:szCs w:val="28"/>
        </w:rPr>
        <w:tab/>
      </w:r>
      <w:r>
        <w:rPr>
          <w:rFonts w:hint="eastAsia" w:eastAsia="楷体"/>
          <w:bCs/>
          <w:color w:val="auto"/>
          <w:sz w:val="28"/>
          <w:szCs w:val="28"/>
          <w:lang w:val="en-US" w:eastAsia="zh-CN"/>
        </w:rPr>
        <w:t>1</w:t>
      </w:r>
      <w:r>
        <w:rPr>
          <w:rFonts w:hint="eastAsia" w:eastAsia="楷体"/>
          <w:bCs/>
          <w:color w:val="auto"/>
          <w:sz w:val="28"/>
          <w:szCs w:val="28"/>
        </w:rPr>
        <w:fldChar w:fldCharType="end"/>
      </w:r>
      <w:r>
        <w:rPr>
          <w:rFonts w:hint="eastAsia" w:eastAsia="楷体"/>
          <w:bCs/>
          <w:color w:val="auto"/>
          <w:sz w:val="28"/>
          <w:szCs w:val="28"/>
          <w:lang w:val="en-US" w:eastAsia="zh-CN"/>
        </w:rPr>
        <w:t>8</w:t>
      </w:r>
    </w:p>
    <w:p w14:paraId="4EA3E378">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color w:val="auto"/>
          <w:sz w:val="28"/>
          <w:szCs w:val="28"/>
        </w:rPr>
        <w:fldChar w:fldCharType="begin"/>
      </w:r>
      <w:r>
        <w:rPr>
          <w:color w:val="auto"/>
          <w:sz w:val="28"/>
          <w:szCs w:val="28"/>
        </w:rPr>
        <w:instrText xml:space="preserve"> HYPERLINK \l "_Toc26683" </w:instrText>
      </w:r>
      <w:r>
        <w:rPr>
          <w:color w:val="auto"/>
          <w:sz w:val="28"/>
          <w:szCs w:val="28"/>
        </w:rPr>
        <w:fldChar w:fldCharType="separate"/>
      </w:r>
      <w:r>
        <w:rPr>
          <w:rFonts w:eastAsia="楷体"/>
          <w:bCs/>
          <w:color w:val="auto"/>
          <w:sz w:val="28"/>
          <w:szCs w:val="28"/>
        </w:rPr>
        <w:t>（</w:t>
      </w:r>
      <w:r>
        <w:rPr>
          <w:rFonts w:hint="eastAsia" w:eastAsia="楷体"/>
          <w:bCs/>
          <w:color w:val="auto"/>
          <w:sz w:val="28"/>
          <w:szCs w:val="28"/>
          <w:lang w:eastAsia="zh-CN"/>
        </w:rPr>
        <w:t>二</w:t>
      </w:r>
      <w:r>
        <w:rPr>
          <w:rFonts w:eastAsia="楷体"/>
          <w:bCs/>
          <w:color w:val="auto"/>
          <w:sz w:val="28"/>
          <w:szCs w:val="28"/>
        </w:rPr>
        <w:t>）</w:t>
      </w:r>
      <w:r>
        <w:rPr>
          <w:rFonts w:hint="eastAsia" w:eastAsia="楷体"/>
          <w:bCs/>
          <w:color w:val="auto"/>
          <w:sz w:val="28"/>
          <w:szCs w:val="28"/>
        </w:rPr>
        <w:t>加强企业安全生产监督</w:t>
      </w:r>
      <w:r>
        <w:rPr>
          <w:rFonts w:eastAsia="方正黑体简体"/>
          <w:bCs/>
          <w:color w:val="auto"/>
          <w:sz w:val="28"/>
          <w:szCs w:val="28"/>
        </w:rPr>
        <w:tab/>
      </w:r>
      <w:r>
        <w:rPr>
          <w:rFonts w:hint="eastAsia" w:eastAsia="楷体"/>
          <w:bCs/>
          <w:color w:val="auto"/>
          <w:sz w:val="28"/>
          <w:szCs w:val="28"/>
          <w:lang w:val="en-US" w:eastAsia="zh-CN"/>
        </w:rPr>
        <w:t>1</w:t>
      </w:r>
      <w:r>
        <w:rPr>
          <w:rFonts w:eastAsia="楷体"/>
          <w:bCs/>
          <w:color w:val="auto"/>
          <w:sz w:val="28"/>
          <w:szCs w:val="28"/>
        </w:rPr>
        <w:fldChar w:fldCharType="end"/>
      </w:r>
      <w:r>
        <w:rPr>
          <w:rFonts w:hint="eastAsia" w:eastAsia="楷体"/>
          <w:bCs/>
          <w:color w:val="auto"/>
          <w:sz w:val="28"/>
          <w:szCs w:val="28"/>
          <w:lang w:val="en-US" w:eastAsia="zh-CN"/>
        </w:rPr>
        <w:t>8</w:t>
      </w:r>
    </w:p>
    <w:p w14:paraId="06FD7374">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420"/>
        <w:textAlignment w:val="auto"/>
        <w:rPr>
          <w:rFonts w:hint="eastAsia" w:eastAsia="楷体"/>
          <w:bCs/>
          <w:color w:val="auto"/>
          <w:sz w:val="28"/>
          <w:szCs w:val="28"/>
          <w:lang w:val="en-US" w:eastAsia="zh-CN"/>
        </w:rPr>
      </w:pPr>
      <w:r>
        <w:rPr>
          <w:color w:val="auto"/>
          <w:sz w:val="28"/>
          <w:szCs w:val="28"/>
        </w:rPr>
        <w:fldChar w:fldCharType="begin"/>
      </w:r>
      <w:r>
        <w:rPr>
          <w:color w:val="auto"/>
          <w:sz w:val="28"/>
          <w:szCs w:val="28"/>
        </w:rPr>
        <w:instrText xml:space="preserve"> HYPERLINK \l "_Toc26683" </w:instrText>
      </w:r>
      <w:r>
        <w:rPr>
          <w:color w:val="auto"/>
          <w:sz w:val="28"/>
          <w:szCs w:val="28"/>
        </w:rPr>
        <w:fldChar w:fldCharType="separate"/>
      </w:r>
      <w:r>
        <w:rPr>
          <w:rFonts w:eastAsia="楷体"/>
          <w:bCs/>
          <w:color w:val="auto"/>
          <w:sz w:val="28"/>
          <w:szCs w:val="28"/>
        </w:rPr>
        <w:t>（</w:t>
      </w:r>
      <w:r>
        <w:rPr>
          <w:rFonts w:hint="eastAsia" w:eastAsia="楷体"/>
          <w:bCs/>
          <w:color w:val="auto"/>
          <w:sz w:val="28"/>
          <w:szCs w:val="28"/>
          <w:lang w:eastAsia="zh-CN"/>
        </w:rPr>
        <w:t>三</w:t>
      </w:r>
      <w:r>
        <w:rPr>
          <w:rFonts w:eastAsia="楷体"/>
          <w:bCs/>
          <w:color w:val="auto"/>
          <w:sz w:val="28"/>
          <w:szCs w:val="28"/>
        </w:rPr>
        <w:t>）</w:t>
      </w:r>
      <w:r>
        <w:rPr>
          <w:rFonts w:hint="eastAsia" w:eastAsia="楷体"/>
          <w:bCs/>
          <w:color w:val="auto"/>
          <w:sz w:val="28"/>
          <w:szCs w:val="28"/>
        </w:rPr>
        <w:t>加强道路</w:t>
      </w:r>
      <w:r>
        <w:rPr>
          <w:rFonts w:hint="eastAsia" w:eastAsia="楷体"/>
          <w:bCs/>
          <w:color w:val="auto"/>
          <w:sz w:val="28"/>
          <w:szCs w:val="28"/>
          <w:lang w:eastAsia="zh-CN"/>
        </w:rPr>
        <w:t>交通</w:t>
      </w:r>
      <w:r>
        <w:rPr>
          <w:rFonts w:hint="eastAsia" w:eastAsia="楷体"/>
          <w:bCs/>
          <w:color w:val="auto"/>
          <w:sz w:val="28"/>
          <w:szCs w:val="28"/>
        </w:rPr>
        <w:t>执法力度</w:t>
      </w:r>
      <w:r>
        <w:rPr>
          <w:rFonts w:eastAsia="方正黑体简体"/>
          <w:bCs/>
          <w:color w:val="auto"/>
          <w:sz w:val="28"/>
          <w:szCs w:val="28"/>
        </w:rPr>
        <w:tab/>
      </w:r>
      <w:r>
        <w:rPr>
          <w:rFonts w:hint="eastAsia" w:eastAsia="方正黑体简体"/>
          <w:bCs/>
          <w:color w:val="auto"/>
          <w:sz w:val="28"/>
          <w:szCs w:val="28"/>
          <w:lang w:val="en-US" w:eastAsia="zh-CN"/>
        </w:rPr>
        <w:t>1</w:t>
      </w:r>
      <w:r>
        <w:rPr>
          <w:rFonts w:eastAsia="楷体"/>
          <w:bCs/>
          <w:color w:val="auto"/>
          <w:sz w:val="28"/>
          <w:szCs w:val="28"/>
        </w:rPr>
        <w:fldChar w:fldCharType="end"/>
      </w:r>
      <w:r>
        <w:rPr>
          <w:rFonts w:hint="eastAsia" w:eastAsia="楷体"/>
          <w:bCs/>
          <w:color w:val="auto"/>
          <w:sz w:val="28"/>
          <w:szCs w:val="28"/>
          <w:lang w:val="en-US" w:eastAsia="zh-CN"/>
        </w:rPr>
        <w:t>9</w:t>
      </w:r>
    </w:p>
    <w:p w14:paraId="475D8540">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0" w:leftChars="0" w:firstLine="0" w:firstLineChars="0"/>
        <w:textAlignment w:val="auto"/>
        <w:rPr>
          <w:rFonts w:hint="eastAsia" w:ascii="Times New Roman" w:hAnsi="Times New Roman" w:eastAsia="方正黑体简体" w:cs="Times New Roman"/>
          <w:bCs/>
          <w:color w:val="auto"/>
          <w:sz w:val="28"/>
          <w:szCs w:val="28"/>
          <w:lang w:val="en-US" w:eastAsia="zh-CN" w:bidi="ar-SA"/>
        </w:rPr>
      </w:pPr>
      <w:r>
        <w:rPr>
          <w:rFonts w:hint="eastAsia" w:ascii="Times New Roman" w:hAnsi="Times New Roman" w:eastAsia="方正黑体简体" w:cs="Times New Roman"/>
          <w:bCs/>
          <w:color w:val="auto"/>
          <w:sz w:val="28"/>
          <w:szCs w:val="28"/>
          <w:lang w:val="en-US" w:eastAsia="zh-CN" w:bidi="ar-SA"/>
        </w:rPr>
        <w:fldChar w:fldCharType="begin"/>
      </w:r>
      <w:r>
        <w:rPr>
          <w:rFonts w:hint="eastAsia" w:ascii="Times New Roman" w:hAnsi="Times New Roman" w:eastAsia="方正黑体简体" w:cs="Times New Roman"/>
          <w:bCs/>
          <w:color w:val="auto"/>
          <w:sz w:val="28"/>
          <w:szCs w:val="28"/>
          <w:lang w:val="en-US" w:eastAsia="zh-CN" w:bidi="ar-SA"/>
        </w:rPr>
        <w:instrText xml:space="preserve"> HYPERLINK \l "_Toc26683" </w:instrText>
      </w:r>
      <w:r>
        <w:rPr>
          <w:rFonts w:hint="eastAsia" w:ascii="Times New Roman" w:hAnsi="Times New Roman" w:eastAsia="方正黑体简体" w:cs="Times New Roman"/>
          <w:bCs/>
          <w:color w:val="auto"/>
          <w:sz w:val="28"/>
          <w:szCs w:val="28"/>
          <w:lang w:val="en-US" w:eastAsia="zh-CN" w:bidi="ar-SA"/>
        </w:rPr>
        <w:fldChar w:fldCharType="separate"/>
      </w:r>
      <w:r>
        <w:rPr>
          <w:rFonts w:hint="eastAsia" w:ascii="Times New Roman" w:hAnsi="Times New Roman" w:eastAsia="方正黑体简体" w:cs="Times New Roman"/>
          <w:bCs/>
          <w:color w:val="auto"/>
          <w:sz w:val="28"/>
          <w:szCs w:val="28"/>
          <w:lang w:val="en-US" w:eastAsia="zh-CN" w:bidi="ar-SA"/>
        </w:rPr>
        <w:t>附件：</w:t>
      </w:r>
      <w:r>
        <w:rPr>
          <w:rFonts w:hint="eastAsia" w:eastAsia="楷体"/>
          <w:bCs/>
          <w:color w:val="auto"/>
          <w:sz w:val="28"/>
          <w:szCs w:val="28"/>
          <w:lang w:val="en-US" w:eastAsia="zh-CN"/>
        </w:rPr>
        <w:t>1.鲤城浮桥“4·5”一般道路交通事故调查组签名表</w:t>
      </w:r>
      <w:r>
        <w:rPr>
          <w:rFonts w:hint="eastAsia" w:ascii="Times New Roman" w:hAnsi="Times New Roman" w:eastAsia="方正黑体简体" w:cs="Times New Roman"/>
          <w:bCs/>
          <w:color w:val="auto"/>
          <w:sz w:val="28"/>
          <w:szCs w:val="28"/>
          <w:lang w:val="en-US" w:eastAsia="zh-CN" w:bidi="ar-SA"/>
        </w:rPr>
        <w:tab/>
      </w:r>
      <w:r>
        <w:rPr>
          <w:rFonts w:hint="eastAsia" w:ascii="Times New Roman" w:hAnsi="Times New Roman" w:eastAsia="方正黑体简体" w:cs="Times New Roman"/>
          <w:bCs/>
          <w:color w:val="auto"/>
          <w:sz w:val="28"/>
          <w:szCs w:val="28"/>
          <w:lang w:val="en-US" w:eastAsia="zh-CN" w:bidi="ar-SA"/>
        </w:rPr>
        <w:t>2</w:t>
      </w:r>
      <w:r>
        <w:rPr>
          <w:rFonts w:hint="eastAsia" w:eastAsia="方正黑体简体" w:cs="Times New Roman"/>
          <w:bCs/>
          <w:color w:val="auto"/>
          <w:sz w:val="28"/>
          <w:szCs w:val="28"/>
          <w:lang w:val="en-US" w:eastAsia="zh-CN" w:bidi="ar-SA"/>
        </w:rPr>
        <w:t>0</w:t>
      </w:r>
      <w:r>
        <w:rPr>
          <w:rFonts w:hint="eastAsia" w:ascii="Times New Roman" w:hAnsi="Times New Roman" w:eastAsia="方正黑体简体" w:cs="Times New Roman"/>
          <w:bCs/>
          <w:color w:val="auto"/>
          <w:sz w:val="28"/>
          <w:szCs w:val="28"/>
          <w:lang w:val="en-US" w:eastAsia="zh-CN" w:bidi="ar-SA"/>
        </w:rPr>
        <w:fldChar w:fldCharType="end"/>
      </w:r>
    </w:p>
    <w:p w14:paraId="47CB8332">
      <w:pPr>
        <w:pStyle w:val="11"/>
        <w:keepNext w:val="0"/>
        <w:keepLines w:val="0"/>
        <w:pageBreakBefore w:val="0"/>
        <w:tabs>
          <w:tab w:val="right" w:leader="dot" w:pos="9064"/>
        </w:tabs>
        <w:kinsoku/>
        <w:wordWrap w:val="0"/>
        <w:overflowPunct/>
        <w:topLinePunct w:val="0"/>
        <w:autoSpaceDE/>
        <w:autoSpaceDN/>
        <w:bidi w:val="0"/>
        <w:adjustRightInd/>
        <w:snapToGrid/>
        <w:spacing w:line="590" w:lineRule="exact"/>
        <w:ind w:left="0" w:leftChars="0" w:firstLine="840" w:firstLineChars="3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黑体简体" w:cs="Times New Roman"/>
          <w:bCs/>
          <w:color w:val="auto"/>
          <w:sz w:val="28"/>
          <w:szCs w:val="28"/>
          <w:lang w:val="en-US" w:eastAsia="zh-CN" w:bidi="ar-SA"/>
        </w:rPr>
        <w:fldChar w:fldCharType="begin"/>
      </w:r>
      <w:r>
        <w:rPr>
          <w:rFonts w:hint="eastAsia" w:ascii="Times New Roman" w:hAnsi="Times New Roman" w:eastAsia="方正黑体简体" w:cs="Times New Roman"/>
          <w:bCs/>
          <w:color w:val="auto"/>
          <w:sz w:val="28"/>
          <w:szCs w:val="28"/>
          <w:lang w:val="en-US" w:eastAsia="zh-CN" w:bidi="ar-SA"/>
        </w:rPr>
        <w:instrText xml:space="preserve"> HYPERLINK \l "_Toc26683" </w:instrText>
      </w:r>
      <w:r>
        <w:rPr>
          <w:rFonts w:hint="eastAsia" w:ascii="Times New Roman" w:hAnsi="Times New Roman" w:eastAsia="方正黑体简体" w:cs="Times New Roman"/>
          <w:bCs/>
          <w:color w:val="auto"/>
          <w:sz w:val="28"/>
          <w:szCs w:val="28"/>
          <w:lang w:val="en-US" w:eastAsia="zh-CN" w:bidi="ar-SA"/>
        </w:rPr>
        <w:fldChar w:fldCharType="separate"/>
      </w:r>
      <w:r>
        <w:rPr>
          <w:rFonts w:hint="eastAsia" w:eastAsia="楷体"/>
          <w:bCs/>
          <w:color w:val="auto"/>
          <w:sz w:val="28"/>
          <w:szCs w:val="28"/>
          <w:lang w:val="en-US" w:eastAsia="zh-CN"/>
        </w:rPr>
        <w:t>2.鲤城浮桥“4·5”一般道路交通事故认定书</w:t>
      </w:r>
      <w:r>
        <w:rPr>
          <w:rFonts w:hint="eastAsia" w:ascii="Times New Roman" w:hAnsi="Times New Roman" w:eastAsia="方正黑体简体" w:cs="Times New Roman"/>
          <w:bCs/>
          <w:color w:val="auto"/>
          <w:sz w:val="28"/>
          <w:szCs w:val="28"/>
          <w:lang w:val="en-US" w:eastAsia="zh-CN" w:bidi="ar-SA"/>
        </w:rPr>
        <w:tab/>
      </w:r>
      <w:r>
        <w:rPr>
          <w:rFonts w:hint="eastAsia" w:ascii="Times New Roman" w:hAnsi="Times New Roman" w:eastAsia="方正黑体简体" w:cs="Times New Roman"/>
          <w:bCs/>
          <w:color w:val="auto"/>
          <w:sz w:val="28"/>
          <w:szCs w:val="28"/>
          <w:lang w:val="en-US" w:eastAsia="zh-CN" w:bidi="ar-SA"/>
        </w:rPr>
        <w:t>2</w:t>
      </w:r>
      <w:r>
        <w:rPr>
          <w:rFonts w:hint="eastAsia" w:eastAsia="方正黑体简体" w:cs="Times New Roman"/>
          <w:bCs/>
          <w:color w:val="auto"/>
          <w:sz w:val="28"/>
          <w:szCs w:val="28"/>
          <w:lang w:val="en-US" w:eastAsia="zh-CN" w:bidi="ar-SA"/>
        </w:rPr>
        <w:t>1</w:t>
      </w:r>
      <w:r>
        <w:rPr>
          <w:rFonts w:hint="eastAsia" w:ascii="Times New Roman" w:hAnsi="Times New Roman" w:eastAsia="方正黑体简体" w:cs="Times New Roman"/>
          <w:bCs/>
          <w:color w:val="auto"/>
          <w:sz w:val="28"/>
          <w:szCs w:val="28"/>
          <w:lang w:val="en-US" w:eastAsia="zh-CN" w:bidi="ar-SA"/>
        </w:rPr>
        <w:fldChar w:fldCharType="end"/>
      </w:r>
    </w:p>
    <w:p w14:paraId="7C76E1B2">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5F6FFD47">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28A08441">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3E925C86">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63BB4B71">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6199A767">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52B86039">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1C86E562">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6C2DAE4C">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672A41C4">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2AFB02E2">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2201DBD2">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385480C0">
      <w:pPr>
        <w:keepNext w:val="0"/>
        <w:keepLines w:val="0"/>
        <w:pageBreakBefore w:val="0"/>
        <w:widowControl w:val="0"/>
        <w:suppressAutoHyphens/>
        <w:kinsoku/>
        <w:wordWrap w:val="0"/>
        <w:overflowPunct w:val="0"/>
        <w:topLinePunct w:val="0"/>
        <w:autoSpaceDE w:val="0"/>
        <w:autoSpaceDN w:val="0"/>
        <w:bidi w:val="0"/>
        <w:adjustRightInd/>
        <w:snapToGrid/>
        <w:spacing w:line="580" w:lineRule="exact"/>
        <w:ind w:firstLine="640" w:firstLineChars="200"/>
        <w:textAlignment w:val="auto"/>
        <w:rPr>
          <w:rFonts w:hint="eastAsia" w:ascii="Times New Roman" w:hAnsi="Times New Roman" w:eastAsia="方正仿宋简体" w:cs="方正仿宋简体"/>
          <w:color w:val="auto"/>
          <w:sz w:val="32"/>
          <w:u w:val="none"/>
        </w:rPr>
      </w:pPr>
    </w:p>
    <w:p w14:paraId="1618C7EA">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2025年4月5日，鲤城区浮桥街道江滨南路源昌江南城路段发生一起交通事故，造成1人死亡。</w:t>
      </w:r>
      <w:r>
        <w:rPr>
          <w:rFonts w:hint="eastAsia" w:eastAsia="方正仿宋简体" w:cs="方正仿宋简体"/>
          <w:color w:val="auto"/>
          <w:sz w:val="32"/>
          <w:u w:val="none"/>
          <w:lang w:eastAsia="zh-CN"/>
        </w:rPr>
        <w:t>鲤城</w:t>
      </w:r>
      <w:r>
        <w:rPr>
          <w:rFonts w:hint="eastAsia" w:ascii="Times New Roman" w:hAnsi="Times New Roman" w:eastAsia="方正仿宋简体" w:cs="方正仿宋简体"/>
          <w:color w:val="auto"/>
          <w:sz w:val="32"/>
          <w:u w:val="none"/>
          <w:lang w:eastAsia="zh-CN"/>
        </w:rPr>
        <w:t>区</w:t>
      </w:r>
      <w:r>
        <w:rPr>
          <w:rFonts w:hint="eastAsia" w:ascii="Times New Roman" w:hAnsi="Times New Roman" w:eastAsia="方正仿宋简体" w:cs="方正仿宋简体"/>
          <w:color w:val="auto"/>
          <w:sz w:val="32"/>
          <w:u w:val="none"/>
        </w:rPr>
        <w:t>政府高度重视，要求全力做好事故善后处理工作，认真查明事故原因，严肃追究责任。根据《中华人民共和国安全生产法》第</w:t>
      </w:r>
      <w:r>
        <w:rPr>
          <w:rFonts w:hint="eastAsia" w:ascii="Times New Roman" w:hAnsi="Times New Roman" w:eastAsia="方正仿宋简体" w:cs="方正仿宋简体"/>
          <w:color w:val="auto"/>
          <w:sz w:val="32"/>
          <w:u w:val="none"/>
          <w:lang w:eastAsia="zh-CN"/>
        </w:rPr>
        <w:t>八十六</w:t>
      </w:r>
      <w:r>
        <w:rPr>
          <w:rFonts w:hint="eastAsia" w:ascii="Times New Roman" w:hAnsi="Times New Roman" w:eastAsia="方正仿宋简体" w:cs="方正仿宋简体"/>
          <w:color w:val="auto"/>
          <w:sz w:val="32"/>
          <w:u w:val="none"/>
        </w:rPr>
        <w:t>条、《生产安全事故报告和调查处理条例》（国务院令第493号）第</w:t>
      </w:r>
      <w:r>
        <w:rPr>
          <w:rFonts w:hint="eastAsia" w:ascii="Times New Roman" w:hAnsi="Times New Roman" w:eastAsia="方正仿宋简体" w:cs="方正仿宋简体"/>
          <w:color w:val="auto"/>
          <w:sz w:val="32"/>
          <w:u w:val="none"/>
          <w:lang w:eastAsia="zh-CN"/>
        </w:rPr>
        <w:t>十九</w:t>
      </w:r>
      <w:r>
        <w:rPr>
          <w:rFonts w:hint="eastAsia" w:ascii="Times New Roman" w:hAnsi="Times New Roman" w:eastAsia="方正仿宋简体" w:cs="方正仿宋简体"/>
          <w:color w:val="auto"/>
          <w:sz w:val="32"/>
          <w:u w:val="none"/>
        </w:rPr>
        <w:t>条规定，区政府成立了由</w:t>
      </w:r>
      <w:r>
        <w:rPr>
          <w:rFonts w:hint="eastAsia" w:eastAsia="方正仿宋简体" w:cs="方正仿宋简体"/>
          <w:color w:val="auto"/>
          <w:sz w:val="32"/>
          <w:u w:val="none"/>
          <w:lang w:eastAsia="zh-CN"/>
        </w:rPr>
        <w:t>鲤城</w:t>
      </w:r>
      <w:r>
        <w:rPr>
          <w:rFonts w:hint="eastAsia" w:ascii="Times New Roman" w:hAnsi="Times New Roman" w:eastAsia="方正仿宋简体" w:cs="方正仿宋简体"/>
          <w:color w:val="auto"/>
          <w:sz w:val="32"/>
          <w:u w:val="none"/>
        </w:rPr>
        <w:t>区应急</w:t>
      </w:r>
      <w:r>
        <w:rPr>
          <w:rFonts w:hint="eastAsia" w:eastAsia="方正仿宋简体" w:cs="方正仿宋简体"/>
          <w:color w:val="auto"/>
          <w:sz w:val="32"/>
          <w:u w:val="none"/>
          <w:lang w:eastAsia="zh-CN"/>
        </w:rPr>
        <w:t>管理</w:t>
      </w:r>
      <w:r>
        <w:rPr>
          <w:rFonts w:hint="eastAsia" w:ascii="Times New Roman" w:hAnsi="Times New Roman" w:eastAsia="方正仿宋简体" w:cs="方正仿宋简体"/>
          <w:color w:val="auto"/>
          <w:sz w:val="32"/>
          <w:u w:val="none"/>
        </w:rPr>
        <w:t>局牵头，泉州市公安局交通警察支队鲤城大队、</w:t>
      </w:r>
      <w:r>
        <w:rPr>
          <w:rFonts w:hint="eastAsia" w:eastAsia="方正仿宋简体" w:cs="方正仿宋简体"/>
          <w:color w:val="auto"/>
          <w:sz w:val="32"/>
          <w:u w:val="none"/>
          <w:lang w:eastAsia="zh-CN"/>
        </w:rPr>
        <w:t>泉州</w:t>
      </w:r>
      <w:r>
        <w:rPr>
          <w:rFonts w:hint="eastAsia" w:ascii="Times New Roman" w:hAnsi="Times New Roman" w:eastAsia="方正仿宋简体" w:cs="方正仿宋简体"/>
          <w:color w:val="auto"/>
          <w:sz w:val="32"/>
          <w:u w:val="none"/>
        </w:rPr>
        <w:t>市交通运输综合执法支队执法二大队、</w:t>
      </w:r>
      <w:r>
        <w:rPr>
          <w:rFonts w:hint="eastAsia" w:eastAsia="方正仿宋简体" w:cs="方正仿宋简体"/>
          <w:color w:val="auto"/>
          <w:sz w:val="32"/>
          <w:u w:val="none"/>
          <w:lang w:eastAsia="zh-CN"/>
        </w:rPr>
        <w:t>鲤城区浮桥街道办事处、鲤城区总工会、鲤城区人社局参加的</w:t>
      </w:r>
      <w:r>
        <w:rPr>
          <w:rFonts w:hint="eastAsia" w:ascii="Times New Roman" w:hAnsi="Times New Roman" w:eastAsia="方正仿宋简体" w:cs="方正仿宋简体"/>
          <w:color w:val="auto"/>
          <w:sz w:val="32"/>
          <w:u w:val="none"/>
        </w:rPr>
        <w:t>事故调查组，</w:t>
      </w:r>
      <w:r>
        <w:rPr>
          <w:rFonts w:hint="eastAsia" w:ascii="Times New Roman" w:hAnsi="Times New Roman" w:eastAsia="方正仿宋简体" w:cs="方正仿宋简体"/>
          <w:color w:val="auto"/>
          <w:sz w:val="32"/>
          <w:u w:val="none"/>
          <w:lang w:eastAsia="zh-CN"/>
        </w:rPr>
        <w:t>并</w:t>
      </w:r>
      <w:r>
        <w:rPr>
          <w:rFonts w:hint="eastAsia" w:ascii="Times New Roman" w:hAnsi="Times New Roman" w:eastAsia="方正仿宋简体" w:cs="方正仿宋简体"/>
          <w:color w:val="auto"/>
          <w:sz w:val="32"/>
          <w:u w:val="none"/>
        </w:rPr>
        <w:t>邀请</w:t>
      </w:r>
      <w:r>
        <w:rPr>
          <w:rFonts w:hint="eastAsia" w:eastAsia="方正仿宋简体" w:cs="方正仿宋简体"/>
          <w:color w:val="auto"/>
          <w:sz w:val="32"/>
          <w:u w:val="none"/>
          <w:lang w:eastAsia="zh-CN"/>
        </w:rPr>
        <w:t>鲤城区</w:t>
      </w:r>
      <w:r>
        <w:rPr>
          <w:rFonts w:hint="eastAsia" w:ascii="Times New Roman" w:hAnsi="Times New Roman" w:eastAsia="方正仿宋简体" w:cs="方正仿宋简体"/>
          <w:color w:val="auto"/>
          <w:sz w:val="32"/>
          <w:u w:val="none"/>
        </w:rPr>
        <w:t>纪委监委派人参与事故调查。同时，</w:t>
      </w:r>
      <w:r>
        <w:rPr>
          <w:rFonts w:hint="eastAsia" w:eastAsia="方正仿宋简体" w:cs="方正仿宋简体"/>
          <w:color w:val="auto"/>
          <w:sz w:val="32"/>
          <w:u w:val="none"/>
          <w:lang w:eastAsia="zh-CN"/>
        </w:rPr>
        <w:t>涉及</w:t>
      </w:r>
      <w:r>
        <w:rPr>
          <w:rFonts w:hint="eastAsia" w:ascii="Times New Roman" w:hAnsi="Times New Roman" w:eastAsia="方正仿宋简体" w:cs="方正仿宋简体"/>
          <w:color w:val="auto"/>
          <w:sz w:val="32"/>
          <w:u w:val="none"/>
        </w:rPr>
        <w:t>事故单位所在地人民政府厦门市思明区</w:t>
      </w:r>
      <w:r>
        <w:rPr>
          <w:rFonts w:hint="eastAsia" w:ascii="Times New Roman" w:hAnsi="Times New Roman" w:eastAsia="方正仿宋简体" w:cs="方正仿宋简体"/>
          <w:color w:val="auto"/>
          <w:sz w:val="32"/>
          <w:u w:val="none"/>
          <w:lang w:eastAsia="zh-CN"/>
        </w:rPr>
        <w:t>人民政府、石狮市人民政府、丰泽区人民政府、晋江市人民政府派员</w:t>
      </w:r>
      <w:r>
        <w:rPr>
          <w:rFonts w:hint="eastAsia" w:ascii="Times New Roman" w:hAnsi="Times New Roman" w:eastAsia="方正仿宋简体" w:cs="方正仿宋简体"/>
          <w:color w:val="auto"/>
          <w:sz w:val="32"/>
          <w:u w:val="none"/>
        </w:rPr>
        <w:t>参加事故调查组。调查组通过现场勘</w:t>
      </w:r>
      <w:r>
        <w:rPr>
          <w:rFonts w:hint="eastAsia" w:eastAsia="方正仿宋简体" w:cs="方正仿宋简体"/>
          <w:color w:val="auto"/>
          <w:sz w:val="32"/>
          <w:u w:val="none"/>
          <w:lang w:val="en-US" w:eastAsia="zh-CN"/>
        </w:rPr>
        <w:t>查</w:t>
      </w:r>
      <w:r>
        <w:rPr>
          <w:rFonts w:hint="eastAsia" w:ascii="Times New Roman" w:hAnsi="Times New Roman" w:eastAsia="方正仿宋简体" w:cs="方正仿宋简体"/>
          <w:color w:val="auto"/>
          <w:sz w:val="32"/>
          <w:u w:val="none"/>
        </w:rPr>
        <w:t>、询问相关人员、查阅有关资料、交警专业技术分析等方式，查明了事故发生的经过、原因、人员伤亡和直接经济损失情况，提出了对相关责任单位、责任人员的处理意见和事故防范及整改措施。</w:t>
      </w:r>
    </w:p>
    <w:p w14:paraId="66B466B4">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经调查组调查认定，本起事故</w:t>
      </w:r>
      <w:r>
        <w:rPr>
          <w:rFonts w:hint="eastAsia" w:ascii="Times New Roman" w:hAnsi="Times New Roman" w:eastAsia="方正仿宋简体" w:cs="方正仿宋简体"/>
          <w:color w:val="auto"/>
          <w:sz w:val="32"/>
          <w:u w:val="none"/>
          <w:lang w:eastAsia="zh-CN"/>
        </w:rPr>
        <w:t>是一起因驾驶员未遵守道路交通安全法律、法规，</w:t>
      </w:r>
      <w:r>
        <w:rPr>
          <w:rFonts w:hint="eastAsia" w:eastAsia="方正仿宋简体" w:cs="方正仿宋简体"/>
          <w:color w:val="auto"/>
          <w:sz w:val="32"/>
          <w:u w:val="none"/>
          <w:lang w:eastAsia="zh-CN"/>
        </w:rPr>
        <w:t>超速行驶引起</w:t>
      </w:r>
      <w:r>
        <w:rPr>
          <w:rFonts w:hint="eastAsia" w:ascii="Times New Roman" w:hAnsi="Times New Roman" w:eastAsia="方正仿宋简体" w:cs="方正仿宋简体"/>
          <w:color w:val="auto"/>
          <w:sz w:val="32"/>
          <w:u w:val="none"/>
          <w:lang w:eastAsia="zh-CN"/>
        </w:rPr>
        <w:t>的一般道路运输生产安全责任事故</w:t>
      </w:r>
      <w:r>
        <w:rPr>
          <w:rFonts w:hint="eastAsia" w:ascii="Times New Roman" w:hAnsi="Times New Roman" w:eastAsia="方正仿宋简体" w:cs="方正仿宋简体"/>
          <w:color w:val="auto"/>
          <w:sz w:val="32"/>
          <w:u w:val="none"/>
        </w:rPr>
        <w:t>。</w:t>
      </w:r>
    </w:p>
    <w:p w14:paraId="73CDF42B">
      <w:pPr>
        <w:keepNext w:val="0"/>
        <w:keepLines w:val="0"/>
        <w:pageBreakBefore w:val="0"/>
        <w:widowControl w:val="0"/>
        <w:kinsoku/>
        <w:wordWrap w:val="0"/>
        <w:topLinePunct w:val="0"/>
        <w:bidi w:val="0"/>
        <w:adjustRightInd/>
        <w:snapToGrid/>
        <w:spacing w:line="57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一、事故基本情况</w:t>
      </w:r>
    </w:p>
    <w:p w14:paraId="3C8D1583">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（一）事故发生单位概况</w:t>
      </w:r>
    </w:p>
    <w:p w14:paraId="3631AB6F">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rPr>
        <w:t>1.泉州百畅物流有限公司，闽CDN1698号轻型厢式货车行驶证登记所有人，统一社会信用代码：91350503MA345NUR83；企业类型：有限责任公司</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自然人投资或控股</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；法定代表人：宁健功；成立日期</w:t>
      </w:r>
      <w:r>
        <w:rPr>
          <w:rFonts w:hint="eastAsia" w:ascii="Times New Roman" w:hAnsi="Times New Roman" w:eastAsia="方正仿宋简体" w:cs="方正仿宋简体"/>
          <w:color w:val="auto"/>
          <w:sz w:val="32"/>
          <w:u w:val="none"/>
          <w:lang w:eastAsia="zh-CN"/>
        </w:rPr>
        <w:t>：2016-01-22；</w:t>
      </w:r>
      <w:r>
        <w:rPr>
          <w:rFonts w:hint="eastAsia" w:ascii="Times New Roman" w:hAnsi="Times New Roman" w:eastAsia="方正仿宋简体" w:cs="方正仿宋简体"/>
          <w:color w:val="auto"/>
          <w:sz w:val="32"/>
          <w:u w:val="none"/>
        </w:rPr>
        <w:t>营业期限：2016-01-22至2066-01-21；注册地址：福建省泉州市丰泽区北峰街道北峰社区丰盛路11号；经营范围：一般项目：国内货物运输代理；普通货物仓储服务（不含危险化学品等需许可审批的项目）；道路货物运输站经营；运输货物打包服务；总质量4.5吨及以下普通货运车辆道路货物运输（除网络货运和危险货物）；租赁服务（不含许可类租赁服务）。（除依法须经批准的项目外，凭营业执照依法自主开展经营活动）许可项目：道路货物运输（网络货运）；道路货物运输（不含危险货物）；城市配送运输服务（不含危险货物）。该公司</w:t>
      </w:r>
      <w:r>
        <w:rPr>
          <w:rFonts w:hint="eastAsia" w:ascii="Times New Roman" w:hAnsi="Times New Roman" w:eastAsia="方正仿宋简体" w:cs="方正仿宋简体"/>
          <w:color w:val="auto"/>
          <w:sz w:val="32"/>
          <w:u w:val="none"/>
          <w:lang w:eastAsia="zh-CN"/>
        </w:rPr>
        <w:t>于</w:t>
      </w:r>
      <w:r>
        <w:rPr>
          <w:rFonts w:hint="eastAsia" w:ascii="Times New Roman" w:hAnsi="Times New Roman" w:eastAsia="方正仿宋简体" w:cs="方正仿宋简体"/>
          <w:color w:val="auto"/>
          <w:sz w:val="32"/>
          <w:u w:val="none"/>
          <w:lang w:val="en-US" w:eastAsia="zh-CN"/>
        </w:rPr>
        <w:t>2021年10月9日</w:t>
      </w:r>
      <w:r>
        <w:rPr>
          <w:rFonts w:hint="eastAsia" w:ascii="Times New Roman" w:hAnsi="Times New Roman" w:eastAsia="方正仿宋简体" w:cs="方正仿宋简体"/>
          <w:color w:val="auto"/>
          <w:sz w:val="32"/>
          <w:u w:val="none"/>
        </w:rPr>
        <w:t>取得</w:t>
      </w:r>
      <w:r>
        <w:rPr>
          <w:rFonts w:hint="eastAsia" w:ascii="Times New Roman" w:hAnsi="Times New Roman" w:eastAsia="方正仿宋简体" w:cs="方正仿宋简体"/>
          <w:color w:val="auto"/>
          <w:sz w:val="32"/>
          <w:u w:val="none"/>
          <w:lang w:eastAsia="zh-CN"/>
        </w:rPr>
        <w:t>泉州市</w:t>
      </w:r>
      <w:r>
        <w:rPr>
          <w:rFonts w:hint="eastAsia" w:ascii="Times New Roman" w:hAnsi="Times New Roman" w:eastAsia="方正仿宋简体" w:cs="方正仿宋简体"/>
          <w:color w:val="auto"/>
          <w:sz w:val="32"/>
          <w:u w:val="none"/>
        </w:rPr>
        <w:t>交通运输局核发</w:t>
      </w:r>
      <w:r>
        <w:rPr>
          <w:rFonts w:hint="eastAsia" w:ascii="Times New Roman" w:hAnsi="Times New Roman" w:eastAsia="方正仿宋简体" w:cs="方正仿宋简体"/>
          <w:color w:val="auto"/>
          <w:sz w:val="32"/>
          <w:u w:val="none"/>
          <w:lang w:eastAsia="zh-Hans"/>
        </w:rPr>
        <w:t>的</w:t>
      </w:r>
      <w:r>
        <w:rPr>
          <w:rFonts w:hint="eastAsia" w:ascii="Times New Roman" w:hAnsi="Times New Roman" w:eastAsia="方正仿宋简体" w:cs="方正仿宋简体"/>
          <w:color w:val="auto"/>
          <w:sz w:val="32"/>
          <w:u w:val="none"/>
        </w:rPr>
        <w:t>《中华人民共和国道路运输经营许可证》，证号：闽交</w:t>
      </w:r>
      <w:r>
        <w:rPr>
          <w:rFonts w:hint="eastAsia" w:ascii="Times New Roman" w:hAnsi="Times New Roman" w:eastAsia="方正仿宋简体" w:cs="方正仿宋简体"/>
          <w:color w:val="auto"/>
          <w:sz w:val="32"/>
          <w:u w:val="none"/>
          <w:lang w:eastAsia="zh-CN"/>
        </w:rPr>
        <w:t>运管许可</w:t>
      </w:r>
      <w:r>
        <w:rPr>
          <w:rFonts w:hint="eastAsia" w:ascii="Times New Roman" w:hAnsi="Times New Roman" w:eastAsia="方正仿宋简体" w:cs="方正仿宋简体"/>
          <w:color w:val="auto"/>
          <w:sz w:val="32"/>
          <w:u w:val="none"/>
        </w:rPr>
        <w:t>泉字350502908178号，2022年6月6日，</w:t>
      </w:r>
      <w:r>
        <w:rPr>
          <w:rFonts w:hint="eastAsia" w:ascii="Times New Roman" w:hAnsi="Times New Roman" w:eastAsia="方正仿宋简体" w:cs="方正仿宋简体"/>
          <w:color w:val="auto"/>
          <w:sz w:val="32"/>
          <w:u w:val="none"/>
          <w:lang w:eastAsia="zh-CN"/>
        </w:rPr>
        <w:t>因</w:t>
      </w:r>
      <w:r>
        <w:rPr>
          <w:rFonts w:hint="eastAsia" w:ascii="Times New Roman" w:hAnsi="Times New Roman" w:eastAsia="方正仿宋简体" w:cs="方正仿宋简体"/>
          <w:color w:val="auto"/>
          <w:sz w:val="32"/>
          <w:u w:val="none"/>
        </w:rPr>
        <w:t>该公司超过其承诺期限</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180天</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未投入营运车辆，</w:t>
      </w:r>
      <w:r>
        <w:rPr>
          <w:rFonts w:hint="eastAsia" w:ascii="Times New Roman" w:hAnsi="Times New Roman" w:eastAsia="方正仿宋简体" w:cs="方正仿宋简体"/>
          <w:color w:val="auto"/>
          <w:sz w:val="32"/>
          <w:u w:val="none"/>
          <w:lang w:eastAsia="zh-CN"/>
        </w:rPr>
        <w:t>泉州市</w:t>
      </w:r>
      <w:r>
        <w:rPr>
          <w:rFonts w:hint="eastAsia" w:ascii="Times New Roman" w:hAnsi="Times New Roman" w:eastAsia="方正仿宋简体" w:cs="方正仿宋简体"/>
          <w:color w:val="auto"/>
          <w:sz w:val="32"/>
          <w:u w:val="none"/>
        </w:rPr>
        <w:t>交通运输局注销该公司道路运输经营许可。</w:t>
      </w:r>
      <w:r>
        <w:rPr>
          <w:rFonts w:hint="eastAsia" w:eastAsia="方正仿宋简体" w:cs="方正仿宋简体"/>
          <w:color w:val="auto"/>
          <w:sz w:val="32"/>
          <w:u w:val="none"/>
          <w:lang w:val="en-US" w:eastAsia="zh-CN"/>
        </w:rPr>
        <w:t>经查，</w:t>
      </w:r>
      <w:r>
        <w:rPr>
          <w:rFonts w:hint="eastAsia" w:ascii="Times New Roman" w:hAnsi="Times New Roman" w:eastAsia="方正仿宋简体" w:cs="方正仿宋简体"/>
          <w:color w:val="auto"/>
          <w:sz w:val="32"/>
          <w:u w:val="none"/>
        </w:rPr>
        <w:t>泉州百畅物流有限公司</w:t>
      </w:r>
      <w:r>
        <w:rPr>
          <w:rFonts w:hint="eastAsia" w:ascii="Times New Roman" w:hAnsi="Times New Roman" w:eastAsia="方正仿宋简体" w:cs="方正仿宋简体"/>
          <w:color w:val="auto"/>
          <w:sz w:val="32"/>
          <w:u w:val="none"/>
          <w:lang w:eastAsia="zh-CN"/>
        </w:rPr>
        <w:t>名下有</w:t>
      </w:r>
      <w:r>
        <w:rPr>
          <w:rFonts w:hint="eastAsia" w:eastAsia="方正仿宋简体" w:cs="方正仿宋简体"/>
          <w:color w:val="auto"/>
          <w:sz w:val="32"/>
          <w:u w:val="none"/>
          <w:lang w:eastAsia="zh-CN"/>
        </w:rPr>
        <w:t>300多辆</w:t>
      </w:r>
      <w:r>
        <w:rPr>
          <w:rFonts w:hint="eastAsia" w:eastAsia="方正仿宋简体" w:cs="方正仿宋简体"/>
          <w:color w:val="auto"/>
          <w:sz w:val="32"/>
          <w:u w:val="none"/>
          <w:lang w:val="en-US" w:eastAsia="zh-CN"/>
        </w:rPr>
        <w:t>货运</w:t>
      </w:r>
      <w:r>
        <w:rPr>
          <w:rFonts w:hint="eastAsia" w:ascii="Times New Roman" w:hAnsi="Times New Roman" w:eastAsia="方正仿宋简体" w:cs="方正仿宋简体"/>
          <w:color w:val="auto"/>
          <w:sz w:val="32"/>
          <w:u w:val="none"/>
          <w:lang w:eastAsia="zh-CN"/>
        </w:rPr>
        <w:t>车辆，</w:t>
      </w:r>
      <w:r>
        <w:rPr>
          <w:rFonts w:hint="eastAsia" w:eastAsia="方正仿宋简体" w:cs="方正仿宋简体"/>
          <w:color w:val="auto"/>
          <w:sz w:val="32"/>
          <w:u w:val="none"/>
          <w:lang w:val="en-US" w:eastAsia="zh-CN"/>
        </w:rPr>
        <w:t>使用性质均</w:t>
      </w:r>
      <w:r>
        <w:rPr>
          <w:rFonts w:hint="eastAsia" w:ascii="Times New Roman" w:hAnsi="Times New Roman" w:eastAsia="方正仿宋简体" w:cs="方正仿宋简体"/>
          <w:color w:val="auto"/>
          <w:sz w:val="32"/>
          <w:u w:val="none"/>
          <w:lang w:eastAsia="zh-CN"/>
        </w:rPr>
        <w:t>登记为</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lang w:eastAsia="zh-CN"/>
        </w:rPr>
        <w:t>非营运</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lang w:eastAsia="zh-CN"/>
        </w:rPr>
        <w:t>。</w:t>
      </w:r>
    </w:p>
    <w:p w14:paraId="3964D695">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lang w:val="en-US" w:eastAsia="zh-CN"/>
        </w:rPr>
        <w:t>2</w:t>
      </w:r>
      <w:r>
        <w:rPr>
          <w:rFonts w:hint="eastAsia" w:ascii="Times New Roman" w:hAnsi="Times New Roman" w:eastAsia="方正仿宋简体" w:cs="方正仿宋简体"/>
          <w:color w:val="auto"/>
          <w:sz w:val="32"/>
          <w:u w:val="none"/>
        </w:rPr>
        <w:t>.厦门甬道星源供应链有限公司，闽DK6137号重型半挂牵引车行驶证登记所有人，统一社会信用代码：91350203MACUPUDG8D；企业类型：有限责任公司</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自然人独资</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；法定代表人：谢剑峰；成立日期</w:t>
      </w:r>
      <w:r>
        <w:rPr>
          <w:rFonts w:hint="eastAsia" w:ascii="Times New Roman" w:hAnsi="Times New Roman" w:eastAsia="方正仿宋简体" w:cs="方正仿宋简体"/>
          <w:color w:val="auto"/>
          <w:sz w:val="32"/>
          <w:u w:val="none"/>
          <w:lang w:eastAsia="zh-CN"/>
        </w:rPr>
        <w:t>：2023-09-12；</w:t>
      </w:r>
      <w:r>
        <w:rPr>
          <w:rFonts w:hint="eastAsia" w:ascii="Times New Roman" w:hAnsi="Times New Roman" w:eastAsia="方正仿宋简体" w:cs="方正仿宋简体"/>
          <w:color w:val="auto"/>
          <w:sz w:val="32"/>
          <w:u w:val="none"/>
        </w:rPr>
        <w:t>营业期限：2023-09-12至无固定期限；注册地址：中国（福建）自由贸易试验区厦门片区（保税区）象兴一路23号201-1室C92；经营范围：一般项目：供应链管理服务；国内集装箱货物运输代理；机械设备租赁；建筑材料销售；有色金属合金销售；科技推广和应用服务；技术进出口；国际货物运输代理；国内船舶代理；信息系统集成服务；信息技术咨询服务；计算机系统服务。（除依法须经批准的项目外，凭营业执照依法自主开展经营活动）许可项目：国际道路货物运输；道路货物运输（不含危险货物）；海关监管货物仓储服务（不含危险化学品、危险货物）；省际普通货船运输、省内船舶运输；建筑智能化系统设计。道路运输经营许可证号：闽交运管许可厦字350201006389号。</w:t>
      </w:r>
    </w:p>
    <w:p w14:paraId="39FB5E1F">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lang w:val="en-US" w:eastAsia="zh-CN"/>
        </w:rPr>
        <w:t>3</w:t>
      </w:r>
      <w:r>
        <w:rPr>
          <w:rFonts w:hint="eastAsia" w:ascii="Times New Roman" w:hAnsi="Times New Roman" w:eastAsia="方正仿宋简体" w:cs="方正仿宋简体"/>
          <w:color w:val="auto"/>
          <w:sz w:val="32"/>
          <w:u w:val="none"/>
        </w:rPr>
        <w:t>.福建金航物流有限公司，闽CH528挂号重型平板自卸半挂车行驶证登记所有人，统一社会信用代码：91350581MA346WEPXA；企业类型：有限责任公司</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自然人投资或控股</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；法定代表人：谢双技；成立日期</w:t>
      </w:r>
      <w:r>
        <w:rPr>
          <w:rFonts w:hint="eastAsia" w:ascii="Times New Roman" w:hAnsi="Times New Roman" w:eastAsia="方正仿宋简体" w:cs="方正仿宋简体"/>
          <w:color w:val="auto"/>
          <w:sz w:val="32"/>
          <w:u w:val="none"/>
          <w:lang w:eastAsia="zh-CN"/>
        </w:rPr>
        <w:t>：2016-03-25；</w:t>
      </w:r>
      <w:r>
        <w:rPr>
          <w:rFonts w:hint="eastAsia" w:ascii="Times New Roman" w:hAnsi="Times New Roman" w:eastAsia="方正仿宋简体" w:cs="方正仿宋简体"/>
          <w:color w:val="auto"/>
          <w:sz w:val="32"/>
          <w:u w:val="none"/>
        </w:rPr>
        <w:t>营业期限：2016-03-25至2066-03-24；注册地址：福建省泉州市石狮市蚶江镇石湖城外新村26号102室；经营范围：一般项目：国际货物运输代理；国内货物运输代理；运输货物打包服务；国内集装箱货物运输代理；国内船舶代理；海上国际货物运输代理；普通货物仓储服务（不含危险化学品等需许可审批的项目）；机械设备租赁；建筑材料销售；有色金属合金销售；煤炭及制品销售；科技推广和应用服务；信息系统集成服务；软件开发；货物进出口；国际船舶代理；港口货物装卸搬运活动；装卸搬运；报关业务。（除依法须经批准的项目外，凭营业执照依法自主开展经营活动）许可项目：国际道路货物运输；道路货物运输（不含危险货物）；公共铁路运输；道路货物运输（网络货运）；水路普通货物运输；省际普通货船运输、省内船舶运输；互联网信息服务。道路运输经营许可证号：闽交运管许可泉字350581313091号。</w:t>
      </w:r>
    </w:p>
    <w:p w14:paraId="41CB8BE3">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（二）有关单位概况</w:t>
      </w:r>
    </w:p>
    <w:p w14:paraId="348A1E43">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泉州市鑫年供应链管理有限公司，统一社会信用代码：91350582MA8UMQC22M；成立于20</w:t>
      </w:r>
      <w:r>
        <w:rPr>
          <w:rFonts w:hint="eastAsia" w:ascii="Times New Roman" w:hAnsi="Times New Roman" w:eastAsia="方正仿宋简体" w:cs="方正仿宋简体"/>
          <w:color w:val="auto"/>
          <w:sz w:val="32"/>
          <w:u w:val="none"/>
          <w:lang w:val="en-US" w:eastAsia="zh-CN"/>
        </w:rPr>
        <w:t>22</w:t>
      </w:r>
      <w:r>
        <w:rPr>
          <w:rFonts w:hint="eastAsia" w:ascii="Times New Roman" w:hAnsi="Times New Roman" w:eastAsia="方正仿宋简体" w:cs="方正仿宋简体"/>
          <w:color w:val="auto"/>
          <w:sz w:val="32"/>
          <w:u w:val="none"/>
        </w:rPr>
        <w:t>年</w:t>
      </w:r>
      <w:r>
        <w:rPr>
          <w:rFonts w:hint="eastAsia" w:ascii="Times New Roman" w:hAnsi="Times New Roman" w:eastAsia="方正仿宋简体" w:cs="方正仿宋简体"/>
          <w:color w:val="auto"/>
          <w:sz w:val="32"/>
          <w:u w:val="none"/>
          <w:lang w:val="en-US" w:eastAsia="zh-CN"/>
        </w:rPr>
        <w:t>3</w:t>
      </w:r>
      <w:r>
        <w:rPr>
          <w:rFonts w:hint="eastAsia" w:ascii="Times New Roman" w:hAnsi="Times New Roman" w:eastAsia="方正仿宋简体" w:cs="方正仿宋简体"/>
          <w:color w:val="auto"/>
          <w:sz w:val="32"/>
          <w:u w:val="none"/>
        </w:rPr>
        <w:t>月</w:t>
      </w:r>
      <w:r>
        <w:rPr>
          <w:rFonts w:hint="eastAsia" w:ascii="Times New Roman" w:hAnsi="Times New Roman" w:eastAsia="方正仿宋简体" w:cs="方正仿宋简体"/>
          <w:color w:val="auto"/>
          <w:sz w:val="32"/>
          <w:u w:val="none"/>
          <w:lang w:val="en-US" w:eastAsia="zh-CN"/>
        </w:rPr>
        <w:t>1</w:t>
      </w:r>
      <w:r>
        <w:rPr>
          <w:rFonts w:hint="eastAsia" w:ascii="Times New Roman" w:hAnsi="Times New Roman" w:eastAsia="方正仿宋简体" w:cs="方正仿宋简体"/>
          <w:color w:val="auto"/>
          <w:sz w:val="32"/>
          <w:u w:val="none"/>
        </w:rPr>
        <w:t>日，法定代表人</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尹强，地址：福建省泉州市晋江市西园街道赖厝社区迎宾路1280号美明达大厦2楼201室，经营范围：一般项目：供应链管理服务；外卖递送服务；餐饮管理；市场营销策划；企业形象策划；企业管理咨询；会议及展览服务；厨具卫具及日用杂品零售；日用百货销售；制冷、空调设备销售；食品销售（仅销售预包装食品）；专业保洁、清洗、消毒服务；礼仪服务；技术服务、技术开发、技术咨询、技术交流、技术转让、技术推广；农副产品销售；信息咨询服务（不含许可类信息咨询服务）；休闲观光活动；国内货物运输代理；装卸搬运；包装服务；小微型客车租赁经营服务；汽车销售。（除依法须经批准的项目外，凭营业执照依法自主开展经营活动）许可项目：道路货物运输（不含危险货物）。</w:t>
      </w:r>
    </w:p>
    <w:p w14:paraId="39218370">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三</w:t>
      </w:r>
      <w:r>
        <w:rPr>
          <w:rFonts w:hint="eastAsia" w:ascii="方正楷体简体" w:hAnsi="方正楷体简体" w:eastAsia="方正楷体简体" w:cs="方正楷体简体"/>
          <w:b/>
          <w:color w:val="auto"/>
          <w:sz w:val="32"/>
          <w:szCs w:val="32"/>
          <w:u w:val="none"/>
        </w:rPr>
        <w:t>）当事人基本情况</w:t>
      </w:r>
    </w:p>
    <w:p w14:paraId="5EE5BF9D">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1.王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坤，男，</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年</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月</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日出生</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驾驶</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身份</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证号码</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350524</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6091，准驾车型</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C1，档案编号</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3505405693</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，户籍地址</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福建省安溪县感德镇洪佑村</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，系事故中闽CDN1698号轻型厢式货车驾驶人，当场死亡。</w:t>
      </w:r>
    </w:p>
    <w:p w14:paraId="78FE3451">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default"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lang w:val="en-US" w:eastAsia="zh-CN"/>
        </w:rPr>
        <w:t>2.龚</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伟，男，</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年</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月</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日出生，道路运输从业人员从业资格证</w:t>
      </w:r>
      <w:r>
        <w:rPr>
          <w:rFonts w:hint="eastAsia" w:eastAsia="方正仿宋简体" w:cs="方正仿宋简体"/>
          <w:color w:val="auto"/>
          <w:sz w:val="32"/>
          <w:u w:val="none"/>
          <w:lang w:val="en-US" w:eastAsia="zh-CN"/>
        </w:rPr>
        <w:t>号：51162319900706****，</w:t>
      </w:r>
      <w:r>
        <w:rPr>
          <w:rFonts w:hint="eastAsia" w:ascii="Times New Roman" w:hAnsi="Times New Roman" w:eastAsia="方正仿宋简体" w:cs="方正仿宋简体"/>
          <w:color w:val="auto"/>
          <w:sz w:val="32"/>
          <w:u w:val="none"/>
          <w:lang w:val="en-US" w:eastAsia="zh-CN"/>
        </w:rPr>
        <w:t>驾驶（身份）证号码：511623</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6731，准驾车型：A2，档案编号：3505231834</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，户籍地址：四川省邻水县石永镇高峰寨村</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，系事故中闽DK6137号重型半挂牵引车（牵引闽CH528挂号重型平板自卸半挂车）的驾驶人。</w:t>
      </w:r>
    </w:p>
    <w:p w14:paraId="5F7DA57D">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四</w:t>
      </w:r>
      <w:r>
        <w:rPr>
          <w:rFonts w:hint="eastAsia" w:ascii="方正楷体简体" w:hAnsi="方正楷体简体" w:eastAsia="方正楷体简体" w:cs="方正楷体简体"/>
          <w:b/>
          <w:color w:val="auto"/>
          <w:sz w:val="32"/>
          <w:szCs w:val="32"/>
          <w:u w:val="none"/>
        </w:rPr>
        <w:t>）涉事车辆基本情况</w:t>
      </w:r>
    </w:p>
    <w:p w14:paraId="5D845A90">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1.闽CDN1698号轻型厢式货车，</w:t>
      </w:r>
      <w:r>
        <w:rPr>
          <w:rFonts w:hint="eastAsia" w:ascii="Times New Roman" w:hAnsi="Times New Roman" w:eastAsia="方正仿宋简体" w:cs="方正仿宋简体"/>
          <w:color w:val="auto"/>
          <w:sz w:val="32"/>
          <w:u w:val="none"/>
          <w:lang w:val="en-US" w:eastAsia="zh-CN"/>
        </w:rPr>
        <w:t>车辆行驶证登记所有人</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泉州百畅物流有限公司，</w:t>
      </w:r>
      <w:r>
        <w:rPr>
          <w:rFonts w:hint="eastAsia" w:eastAsia="方正仿宋简体" w:cs="方正仿宋简体"/>
          <w:color w:val="auto"/>
          <w:sz w:val="32"/>
          <w:u w:val="none"/>
          <w:lang w:val="en-US" w:eastAsia="zh-CN"/>
        </w:rPr>
        <w:t>车辆使用性质登记</w:t>
      </w:r>
      <w:r>
        <w:rPr>
          <w:rFonts w:hint="eastAsia" w:ascii="Times New Roman" w:hAnsi="Times New Roman" w:eastAsia="方正仿宋简体" w:cs="方正仿宋简体"/>
          <w:color w:val="auto"/>
          <w:sz w:val="32"/>
          <w:u w:val="none"/>
          <w:lang w:val="en-US" w:eastAsia="zh-CN"/>
        </w:rPr>
        <w:t>为</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非</w:t>
      </w:r>
      <w:r>
        <w:rPr>
          <w:rFonts w:hint="eastAsia" w:eastAsia="方正仿宋简体" w:cs="方正仿宋简体"/>
          <w:color w:val="auto"/>
          <w:sz w:val="32"/>
          <w:u w:val="none"/>
          <w:lang w:val="en-US" w:eastAsia="zh-CN"/>
        </w:rPr>
        <w:t>营运”</w:t>
      </w:r>
      <w:r>
        <w:rPr>
          <w:rFonts w:hint="eastAsia" w:ascii="Times New Roman" w:hAnsi="Times New Roman"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检验有效期至2025年10月31日。投保公司</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中国人寿财产保险股份有限公司泉州市中心支公司，强制险保单号</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6605072024350505002817，商业险保单号</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6605312024350505000286。经查，闽CDN1698号轻型厢式货车202</w:t>
      </w:r>
      <w:r>
        <w:rPr>
          <w:rFonts w:hint="eastAsia" w:ascii="Times New Roman" w:hAnsi="Times New Roman" w:eastAsia="方正仿宋简体" w:cs="方正仿宋简体"/>
          <w:color w:val="auto"/>
          <w:sz w:val="32"/>
          <w:u w:val="none"/>
          <w:lang w:val="en-US" w:eastAsia="zh-CN"/>
        </w:rPr>
        <w:t>5</w:t>
      </w:r>
      <w:r>
        <w:rPr>
          <w:rFonts w:hint="eastAsia" w:ascii="Times New Roman" w:hAnsi="Times New Roman" w:eastAsia="方正仿宋简体" w:cs="方正仿宋简体"/>
          <w:color w:val="auto"/>
          <w:sz w:val="32"/>
          <w:u w:val="none"/>
        </w:rPr>
        <w:t>年</w:t>
      </w:r>
      <w:r>
        <w:rPr>
          <w:rFonts w:hint="eastAsia" w:eastAsia="方正仿宋简体" w:cs="方正仿宋简体"/>
          <w:color w:val="auto"/>
          <w:sz w:val="32"/>
          <w:u w:val="none"/>
          <w:lang w:val="en-US" w:eastAsia="zh-CN"/>
        </w:rPr>
        <w:t>1月1日至</w:t>
      </w:r>
      <w:r>
        <w:rPr>
          <w:rFonts w:hint="eastAsia" w:ascii="Times New Roman" w:hAnsi="Times New Roman" w:eastAsia="方正仿宋简体" w:cs="方正仿宋简体"/>
          <w:color w:val="auto"/>
          <w:sz w:val="32"/>
          <w:u w:val="none"/>
        </w:rPr>
        <w:t>202</w:t>
      </w:r>
      <w:r>
        <w:rPr>
          <w:rFonts w:hint="eastAsia" w:ascii="Times New Roman" w:hAnsi="Times New Roman" w:eastAsia="方正仿宋简体" w:cs="方正仿宋简体"/>
          <w:color w:val="auto"/>
          <w:sz w:val="32"/>
          <w:u w:val="none"/>
          <w:lang w:val="en-US" w:eastAsia="zh-CN"/>
        </w:rPr>
        <w:t>5</w:t>
      </w:r>
      <w:r>
        <w:rPr>
          <w:rFonts w:hint="eastAsia" w:ascii="Times New Roman" w:hAnsi="Times New Roman" w:eastAsia="方正仿宋简体" w:cs="方正仿宋简体"/>
          <w:color w:val="auto"/>
          <w:sz w:val="32"/>
          <w:u w:val="none"/>
        </w:rPr>
        <w:t>年</w:t>
      </w:r>
      <w:r>
        <w:rPr>
          <w:rFonts w:hint="eastAsia" w:eastAsia="方正仿宋简体" w:cs="方正仿宋简体"/>
          <w:color w:val="auto"/>
          <w:sz w:val="32"/>
          <w:u w:val="none"/>
          <w:lang w:val="en-US" w:eastAsia="zh-CN"/>
        </w:rPr>
        <w:t>4月4日</w:t>
      </w:r>
      <w:r>
        <w:rPr>
          <w:rFonts w:hint="eastAsia" w:ascii="Times New Roman" w:hAnsi="Times New Roman" w:eastAsia="方正仿宋简体" w:cs="方正仿宋简体"/>
          <w:color w:val="auto"/>
          <w:sz w:val="32"/>
          <w:u w:val="none"/>
        </w:rPr>
        <w:t>共有交通违法行为记录</w:t>
      </w:r>
      <w:r>
        <w:rPr>
          <w:rFonts w:hint="eastAsia" w:ascii="Times New Roman" w:hAnsi="Times New Roman" w:eastAsia="方正仿宋简体" w:cs="方正仿宋简体"/>
          <w:color w:val="auto"/>
          <w:sz w:val="32"/>
          <w:u w:val="none"/>
          <w:lang w:val="en-US" w:eastAsia="zh-CN"/>
        </w:rPr>
        <w:t>8</w:t>
      </w:r>
      <w:r>
        <w:rPr>
          <w:rFonts w:hint="eastAsia" w:ascii="Times New Roman" w:hAnsi="Times New Roman" w:eastAsia="方正仿宋简体" w:cs="方正仿宋简体"/>
          <w:color w:val="auto"/>
          <w:sz w:val="32"/>
          <w:u w:val="none"/>
        </w:rPr>
        <w:t>条，已处理</w:t>
      </w:r>
      <w:r>
        <w:rPr>
          <w:rFonts w:hint="eastAsia" w:ascii="Times New Roman" w:hAnsi="Times New Roman" w:eastAsia="方正仿宋简体" w:cs="方正仿宋简体"/>
          <w:color w:val="auto"/>
          <w:sz w:val="32"/>
          <w:u w:val="none"/>
          <w:lang w:val="en-US" w:eastAsia="zh-CN"/>
        </w:rPr>
        <w:t>0</w:t>
      </w:r>
      <w:r>
        <w:rPr>
          <w:rFonts w:hint="eastAsia" w:ascii="Times New Roman" w:hAnsi="Times New Roman" w:eastAsia="方正仿宋简体" w:cs="方正仿宋简体"/>
          <w:color w:val="auto"/>
          <w:sz w:val="32"/>
          <w:u w:val="none"/>
        </w:rPr>
        <w:t>条。</w:t>
      </w:r>
    </w:p>
    <w:p w14:paraId="2595E428">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lang w:val="en-US" w:eastAsia="zh-CN"/>
        </w:rPr>
        <w:t>2.闽DK6137号重型半挂牵引车，道路运输证号</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闽交运管厦字350201331463号</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车辆行驶证登记所有人：厦门甬道星源供应链有限公司，住址：厦门市思明区大元路35号201室G单元，检验有效期至2025年5月31日。投保公司：中国人寿财产保险股份有限公司泉州市中心支公司，强制险保单号：6605072024350593000241，商业险保单号：6605222024350593000037。</w:t>
      </w:r>
      <w:r>
        <w:rPr>
          <w:rFonts w:hint="eastAsia" w:ascii="Times New Roman" w:hAnsi="Times New Roman" w:eastAsia="方正仿宋简体" w:cs="方正仿宋简体"/>
          <w:color w:val="auto"/>
          <w:sz w:val="32"/>
          <w:u w:val="none"/>
        </w:rPr>
        <w:t>经查，闽DK6137号重型半挂牵引车202</w:t>
      </w:r>
      <w:r>
        <w:rPr>
          <w:rFonts w:hint="eastAsia" w:ascii="Times New Roman" w:hAnsi="Times New Roman" w:eastAsia="方正仿宋简体" w:cs="方正仿宋简体"/>
          <w:color w:val="auto"/>
          <w:sz w:val="32"/>
          <w:u w:val="none"/>
          <w:lang w:val="en-US" w:eastAsia="zh-CN"/>
        </w:rPr>
        <w:t>5</w:t>
      </w:r>
      <w:r>
        <w:rPr>
          <w:rFonts w:hint="eastAsia" w:ascii="Times New Roman" w:hAnsi="Times New Roman" w:eastAsia="方正仿宋简体" w:cs="方正仿宋简体"/>
          <w:color w:val="auto"/>
          <w:sz w:val="32"/>
          <w:u w:val="none"/>
        </w:rPr>
        <w:t>年</w:t>
      </w:r>
      <w:r>
        <w:rPr>
          <w:rFonts w:hint="eastAsia" w:eastAsia="方正仿宋简体" w:cs="方正仿宋简体"/>
          <w:color w:val="auto"/>
          <w:sz w:val="32"/>
          <w:u w:val="none"/>
          <w:lang w:val="en-US" w:eastAsia="zh-CN"/>
        </w:rPr>
        <w:t>1月1日至</w:t>
      </w:r>
      <w:r>
        <w:rPr>
          <w:rFonts w:hint="eastAsia" w:ascii="Times New Roman" w:hAnsi="Times New Roman" w:eastAsia="方正仿宋简体" w:cs="方正仿宋简体"/>
          <w:color w:val="auto"/>
          <w:sz w:val="32"/>
          <w:u w:val="none"/>
        </w:rPr>
        <w:t>202</w:t>
      </w:r>
      <w:r>
        <w:rPr>
          <w:rFonts w:hint="eastAsia" w:ascii="Times New Roman" w:hAnsi="Times New Roman" w:eastAsia="方正仿宋简体" w:cs="方正仿宋简体"/>
          <w:color w:val="auto"/>
          <w:sz w:val="32"/>
          <w:u w:val="none"/>
          <w:lang w:val="en-US" w:eastAsia="zh-CN"/>
        </w:rPr>
        <w:t>5</w:t>
      </w:r>
      <w:r>
        <w:rPr>
          <w:rFonts w:hint="eastAsia" w:ascii="Times New Roman" w:hAnsi="Times New Roman" w:eastAsia="方正仿宋简体" w:cs="方正仿宋简体"/>
          <w:color w:val="auto"/>
          <w:sz w:val="32"/>
          <w:u w:val="none"/>
        </w:rPr>
        <w:t>年</w:t>
      </w:r>
      <w:r>
        <w:rPr>
          <w:rFonts w:hint="eastAsia" w:eastAsia="方正仿宋简体" w:cs="方正仿宋简体"/>
          <w:color w:val="auto"/>
          <w:sz w:val="32"/>
          <w:u w:val="none"/>
          <w:lang w:val="en-US" w:eastAsia="zh-CN"/>
        </w:rPr>
        <w:t>4月4日</w:t>
      </w:r>
      <w:r>
        <w:rPr>
          <w:rFonts w:hint="eastAsia" w:ascii="Times New Roman" w:hAnsi="Times New Roman" w:eastAsia="方正仿宋简体" w:cs="方正仿宋简体"/>
          <w:color w:val="auto"/>
          <w:sz w:val="32"/>
          <w:u w:val="none"/>
        </w:rPr>
        <w:t>共有交通违法行为记录</w:t>
      </w:r>
      <w:r>
        <w:rPr>
          <w:rFonts w:hint="eastAsia" w:ascii="Times New Roman" w:hAnsi="Times New Roman" w:eastAsia="方正仿宋简体" w:cs="方正仿宋简体"/>
          <w:color w:val="auto"/>
          <w:sz w:val="32"/>
          <w:u w:val="none"/>
          <w:lang w:val="en-US" w:eastAsia="zh-CN"/>
        </w:rPr>
        <w:t>1</w:t>
      </w:r>
      <w:r>
        <w:rPr>
          <w:rFonts w:hint="eastAsia" w:ascii="Times New Roman" w:hAnsi="Times New Roman" w:eastAsia="方正仿宋简体" w:cs="方正仿宋简体"/>
          <w:color w:val="auto"/>
          <w:sz w:val="32"/>
          <w:u w:val="none"/>
        </w:rPr>
        <w:t>条，已处理</w:t>
      </w:r>
      <w:r>
        <w:rPr>
          <w:rFonts w:hint="eastAsia" w:ascii="Times New Roman" w:hAnsi="Times New Roman" w:eastAsia="方正仿宋简体" w:cs="方正仿宋简体"/>
          <w:color w:val="auto"/>
          <w:sz w:val="32"/>
          <w:u w:val="none"/>
          <w:lang w:val="en-US" w:eastAsia="zh-CN"/>
        </w:rPr>
        <w:t>1</w:t>
      </w:r>
      <w:r>
        <w:rPr>
          <w:rFonts w:hint="eastAsia" w:ascii="Times New Roman" w:hAnsi="Times New Roman" w:eastAsia="方正仿宋简体" w:cs="方正仿宋简体"/>
          <w:color w:val="auto"/>
          <w:sz w:val="32"/>
          <w:u w:val="none"/>
        </w:rPr>
        <w:t>条。</w:t>
      </w:r>
    </w:p>
    <w:p w14:paraId="4B4C1A2A">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default"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lang w:val="en-US" w:eastAsia="zh-CN"/>
        </w:rPr>
        <w:t>3.闽CH528挂号重型平板自卸半挂车，道路运输证号</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闽交运管泉字350581021228号</w:t>
      </w:r>
      <w:r>
        <w:rPr>
          <w:rFonts w:hint="eastAsia" w:eastAsia="方正仿宋简体" w:cs="方正仿宋简体"/>
          <w:color w:val="auto"/>
          <w:sz w:val="32"/>
          <w:u w:val="none"/>
          <w:lang w:val="en-US" w:eastAsia="zh-CN"/>
        </w:rPr>
        <w:t>，车辆</w:t>
      </w:r>
      <w:r>
        <w:rPr>
          <w:rFonts w:hint="eastAsia" w:ascii="Times New Roman" w:hAnsi="Times New Roman" w:eastAsia="方正仿宋简体" w:cs="方正仿宋简体"/>
          <w:color w:val="auto"/>
          <w:sz w:val="32"/>
          <w:u w:val="none"/>
        </w:rPr>
        <w:t>行驶证登记所有人</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福建金航物流有限公司，住址：福建省泉州市石狮市蚶江镇石湖城外新村26号102室，检验有效期至2025年4月30日。</w:t>
      </w:r>
      <w:r>
        <w:rPr>
          <w:rFonts w:hint="eastAsia" w:ascii="Times New Roman" w:hAnsi="Times New Roman" w:eastAsia="方正仿宋简体" w:cs="方正仿宋简体"/>
          <w:color w:val="auto"/>
          <w:sz w:val="32"/>
          <w:u w:val="none"/>
        </w:rPr>
        <w:t>经查，闽CH528挂号重型平板自卸半挂车202</w:t>
      </w:r>
      <w:r>
        <w:rPr>
          <w:rFonts w:hint="eastAsia" w:ascii="Times New Roman" w:hAnsi="Times New Roman" w:eastAsia="方正仿宋简体" w:cs="方正仿宋简体"/>
          <w:color w:val="auto"/>
          <w:sz w:val="32"/>
          <w:u w:val="none"/>
          <w:lang w:val="en-US" w:eastAsia="zh-CN"/>
        </w:rPr>
        <w:t>5</w:t>
      </w:r>
      <w:r>
        <w:rPr>
          <w:rFonts w:hint="eastAsia" w:ascii="Times New Roman" w:hAnsi="Times New Roman" w:eastAsia="方正仿宋简体" w:cs="方正仿宋简体"/>
          <w:color w:val="auto"/>
          <w:sz w:val="32"/>
          <w:u w:val="none"/>
        </w:rPr>
        <w:t>年</w:t>
      </w:r>
      <w:r>
        <w:rPr>
          <w:rFonts w:hint="eastAsia" w:eastAsia="方正仿宋简体" w:cs="方正仿宋简体"/>
          <w:color w:val="auto"/>
          <w:sz w:val="32"/>
          <w:u w:val="none"/>
          <w:lang w:val="en-US" w:eastAsia="zh-CN"/>
        </w:rPr>
        <w:t>1月1日至</w:t>
      </w:r>
      <w:r>
        <w:rPr>
          <w:rFonts w:hint="eastAsia" w:ascii="Times New Roman" w:hAnsi="Times New Roman" w:eastAsia="方正仿宋简体" w:cs="方正仿宋简体"/>
          <w:color w:val="auto"/>
          <w:sz w:val="32"/>
          <w:u w:val="none"/>
        </w:rPr>
        <w:t>202</w:t>
      </w:r>
      <w:r>
        <w:rPr>
          <w:rFonts w:hint="eastAsia" w:ascii="Times New Roman" w:hAnsi="Times New Roman" w:eastAsia="方正仿宋简体" w:cs="方正仿宋简体"/>
          <w:color w:val="auto"/>
          <w:sz w:val="32"/>
          <w:u w:val="none"/>
          <w:lang w:val="en-US" w:eastAsia="zh-CN"/>
        </w:rPr>
        <w:t>5</w:t>
      </w:r>
      <w:r>
        <w:rPr>
          <w:rFonts w:hint="eastAsia" w:ascii="Times New Roman" w:hAnsi="Times New Roman" w:eastAsia="方正仿宋简体" w:cs="方正仿宋简体"/>
          <w:color w:val="auto"/>
          <w:sz w:val="32"/>
          <w:u w:val="none"/>
        </w:rPr>
        <w:t>年</w:t>
      </w:r>
      <w:r>
        <w:rPr>
          <w:rFonts w:hint="eastAsia" w:eastAsia="方正仿宋简体" w:cs="方正仿宋简体"/>
          <w:color w:val="auto"/>
          <w:sz w:val="32"/>
          <w:u w:val="none"/>
          <w:lang w:val="en-US" w:eastAsia="zh-CN"/>
        </w:rPr>
        <w:t>4月4日</w:t>
      </w:r>
      <w:r>
        <w:rPr>
          <w:rFonts w:hint="eastAsia" w:ascii="Times New Roman" w:hAnsi="Times New Roman" w:eastAsia="方正仿宋简体" w:cs="方正仿宋简体"/>
          <w:color w:val="auto"/>
          <w:sz w:val="32"/>
          <w:u w:val="none"/>
          <w:lang w:eastAsia="zh-CN"/>
        </w:rPr>
        <w:t>无</w:t>
      </w:r>
      <w:r>
        <w:rPr>
          <w:rFonts w:hint="eastAsia" w:ascii="Times New Roman" w:hAnsi="Times New Roman" w:eastAsia="方正仿宋简体" w:cs="方正仿宋简体"/>
          <w:color w:val="auto"/>
          <w:sz w:val="32"/>
          <w:u w:val="none"/>
        </w:rPr>
        <w:t>交通违法行为记录。</w:t>
      </w:r>
    </w:p>
    <w:p w14:paraId="5BC2B207">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五</w:t>
      </w:r>
      <w:r>
        <w:rPr>
          <w:rFonts w:hint="eastAsia" w:ascii="方正楷体简体" w:hAnsi="方正楷体简体" w:eastAsia="方正楷体简体" w:cs="方正楷体简体"/>
          <w:b/>
          <w:color w:val="auto"/>
          <w:sz w:val="32"/>
          <w:szCs w:val="32"/>
          <w:u w:val="none"/>
        </w:rPr>
        <w:t>）涉事车辆技术鉴定情况</w:t>
      </w:r>
    </w:p>
    <w:p w14:paraId="6F39FAAE">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1.闽CDN1698号轻型厢式货车：根据福建</w:t>
      </w:r>
      <w:r>
        <w:rPr>
          <w:rFonts w:hint="eastAsia" w:ascii="Times New Roman" w:hAnsi="Times New Roman" w:eastAsia="方正仿宋简体" w:cs="方正仿宋简体"/>
          <w:color w:val="auto"/>
          <w:sz w:val="32"/>
          <w:u w:val="none"/>
          <w:lang w:eastAsia="zh-CN"/>
        </w:rPr>
        <w:t>君驰司</w:t>
      </w:r>
      <w:r>
        <w:rPr>
          <w:rFonts w:hint="eastAsia" w:ascii="Times New Roman" w:hAnsi="Times New Roman" w:eastAsia="方正仿宋简体" w:cs="方正仿宋简体"/>
          <w:color w:val="auto"/>
          <w:sz w:val="32"/>
          <w:u w:val="none"/>
        </w:rPr>
        <w:t>法鉴定所出具的司法鉴定意见书，闽CDN1698号牌轻型厢式货车的行车制动系统无故障缺陷，作用有效。闽CDN1698号牌轻型厢式货车临发生事故时，其车辆行驶速度为72km/h。</w:t>
      </w:r>
    </w:p>
    <w:p w14:paraId="1FD33FE8">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lang w:val="en-US" w:eastAsia="zh-CN"/>
        </w:rPr>
        <w:t>2.闽DK6137号重型半挂牵引车</w:t>
      </w:r>
      <w:r>
        <w:rPr>
          <w:rFonts w:hint="eastAsia" w:ascii="Times New Roman" w:hAnsi="Times New Roman" w:eastAsia="方正仿宋简体" w:cs="方正仿宋简体"/>
          <w:color w:val="auto"/>
          <w:sz w:val="32"/>
          <w:u w:val="none"/>
        </w:rPr>
        <w:t>：根据福建</w:t>
      </w:r>
      <w:r>
        <w:rPr>
          <w:rFonts w:hint="eastAsia" w:ascii="Times New Roman" w:hAnsi="Times New Roman" w:eastAsia="方正仿宋简体" w:cs="方正仿宋简体"/>
          <w:color w:val="auto"/>
          <w:sz w:val="32"/>
          <w:u w:val="none"/>
          <w:lang w:eastAsia="zh-CN"/>
        </w:rPr>
        <w:t>君驰司</w:t>
      </w:r>
      <w:r>
        <w:rPr>
          <w:rFonts w:hint="eastAsia" w:ascii="Times New Roman" w:hAnsi="Times New Roman" w:eastAsia="方正仿宋简体" w:cs="方正仿宋简体"/>
          <w:color w:val="auto"/>
          <w:sz w:val="32"/>
          <w:u w:val="none"/>
        </w:rPr>
        <w:t>法鉴定所出具的司法鉴定意见书，闽DK6137号重型半挂牵引车</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牵引闽CH528挂号重型平板自卸半挂车</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的挂车尾部的后位灯、制动灯事故前失效，左右转向灯和危险警告信号灯作用有效</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挂车尾部的反光标识不符合GB23254-2009《货车及挂车车身反光标识》的相关要求</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挂车尾部的防护装置，不符合GB11567-2017《汽车及挂车侧面和后下部防护要求》的相关要求。</w:t>
      </w:r>
    </w:p>
    <w:p w14:paraId="6DE458F9">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default"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lang w:val="en-US" w:eastAsia="zh-CN"/>
        </w:rPr>
        <w:t>3.闽CH528挂号重型平板自卸半挂车</w:t>
      </w:r>
      <w:r>
        <w:rPr>
          <w:rFonts w:hint="eastAsia" w:ascii="Times New Roman" w:hAnsi="Times New Roman" w:eastAsia="方正仿宋简体" w:cs="方正仿宋简体"/>
          <w:color w:val="auto"/>
          <w:sz w:val="32"/>
          <w:u w:val="none"/>
        </w:rPr>
        <w:t>：根据福建</w:t>
      </w:r>
      <w:r>
        <w:rPr>
          <w:rFonts w:hint="eastAsia" w:eastAsia="方正仿宋简体" w:cs="方正仿宋简体"/>
          <w:color w:val="auto"/>
          <w:sz w:val="32"/>
          <w:u w:val="none"/>
          <w:lang w:eastAsia="zh-CN"/>
        </w:rPr>
        <w:t>方正</w:t>
      </w:r>
      <w:r>
        <w:rPr>
          <w:rFonts w:hint="eastAsia" w:ascii="Times New Roman" w:hAnsi="Times New Roman" w:eastAsia="方正仿宋简体" w:cs="方正仿宋简体"/>
          <w:color w:val="auto"/>
          <w:sz w:val="32"/>
          <w:u w:val="none"/>
          <w:lang w:eastAsia="zh-CN"/>
        </w:rPr>
        <w:t>司</w:t>
      </w:r>
      <w:r>
        <w:rPr>
          <w:rFonts w:hint="eastAsia" w:ascii="Times New Roman" w:hAnsi="Times New Roman" w:eastAsia="方正仿宋简体" w:cs="方正仿宋简体"/>
          <w:color w:val="auto"/>
          <w:sz w:val="32"/>
          <w:u w:val="none"/>
        </w:rPr>
        <w:t>法鉴定所出具的司法鉴定意见书，事故时闽CH528挂号重型平板自卸半挂车尾部左右位灯、左右制动灯、倒车灯及牌照灯失效，尾部左右转向信号灯及危险警告信号灯正常有效</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事故时闽CH528挂号重型平板自卸半挂车尾部反光标识大部分缺损，不能体现车身尾部横向宽度、高度，有效反光标识总面积明显小于0.1㎡，以及未设置反光标志板，不符合国家标准</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GB7258-2017</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相关规定</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事故时闽CH528挂号重型平板自卸半挂车后下部防护装置左右端最外缘与后轴车轮最外端的横向距离、横向构件的截面高度等，不符合国家标准</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GB7258-2017</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相关规定。</w:t>
      </w:r>
    </w:p>
    <w:p w14:paraId="6F0FCC9D">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六</w:t>
      </w:r>
      <w:r>
        <w:rPr>
          <w:rFonts w:hint="eastAsia" w:ascii="方正楷体简体" w:hAnsi="方正楷体简体" w:eastAsia="方正楷体简体" w:cs="方正楷体简体"/>
          <w:b/>
          <w:color w:val="auto"/>
          <w:sz w:val="32"/>
          <w:szCs w:val="32"/>
          <w:u w:val="none"/>
        </w:rPr>
        <w:t>）涉事企业安全管理情况</w:t>
      </w:r>
    </w:p>
    <w:p w14:paraId="48D972A0">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lang w:val="en-US" w:eastAsia="zh-CN"/>
        </w:rPr>
        <w:t>1.泉州百畅物流有限公司未制定并落实安全生产规章制度</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安全生产</w:t>
      </w:r>
      <w:r>
        <w:rPr>
          <w:rFonts w:hint="eastAsia" w:eastAsia="方正仿宋简体" w:cs="方正仿宋简体"/>
          <w:color w:val="auto"/>
          <w:sz w:val="32"/>
          <w:u w:val="none"/>
          <w:lang w:val="en-US" w:eastAsia="zh-CN"/>
        </w:rPr>
        <w:t>教育</w:t>
      </w:r>
      <w:r>
        <w:rPr>
          <w:rFonts w:hint="eastAsia" w:ascii="Times New Roman" w:hAnsi="Times New Roman" w:eastAsia="方正仿宋简体" w:cs="方正仿宋简体"/>
          <w:color w:val="auto"/>
          <w:sz w:val="32"/>
          <w:u w:val="none"/>
          <w:lang w:val="en-US" w:eastAsia="zh-CN"/>
        </w:rPr>
        <w:t>培训计划，未设置安全生产管理机构或是配备专</w:t>
      </w:r>
      <w:r>
        <w:rPr>
          <w:rFonts w:hint="eastAsia" w:eastAsia="方正仿宋简体" w:cs="方正仿宋简体"/>
          <w:color w:val="auto"/>
          <w:sz w:val="32"/>
          <w:u w:val="none"/>
          <w:lang w:val="en-US" w:eastAsia="zh-CN"/>
        </w:rPr>
        <w:t>（兼）</w:t>
      </w:r>
      <w:r>
        <w:rPr>
          <w:rFonts w:hint="eastAsia" w:ascii="Times New Roman" w:hAnsi="Times New Roman" w:eastAsia="方正仿宋简体" w:cs="方正仿宋简体"/>
          <w:color w:val="auto"/>
          <w:sz w:val="32"/>
          <w:u w:val="none"/>
          <w:lang w:val="en-US" w:eastAsia="zh-CN"/>
        </w:rPr>
        <w:t>职安全生产管理人员，主要负责人宁健功未持有《道路运输企业主要负责人和安全生产管理人员安全考核合格证明》，未对闽CDN1698号轻型厢式货车驾驶员王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坤开展安全生产教育培训，未落实车辆设施和</w:t>
      </w:r>
      <w:r>
        <w:rPr>
          <w:rFonts w:hint="eastAsia" w:eastAsia="方正仿宋简体" w:cs="方正仿宋简体"/>
          <w:color w:val="auto"/>
          <w:sz w:val="32"/>
          <w:u w:val="none"/>
          <w:lang w:val="en-US" w:eastAsia="zh-CN"/>
        </w:rPr>
        <w:t>驾驶员</w:t>
      </w:r>
      <w:r>
        <w:rPr>
          <w:rFonts w:hint="eastAsia" w:ascii="Times New Roman" w:hAnsi="Times New Roman" w:eastAsia="方正仿宋简体" w:cs="方正仿宋简体"/>
          <w:color w:val="auto"/>
          <w:sz w:val="32"/>
          <w:u w:val="none"/>
          <w:lang w:val="en-US" w:eastAsia="zh-CN"/>
        </w:rPr>
        <w:t>安全管理，未对公司名下300多辆货运车辆开展隐患排查治理工作，未构建安全风险分级管控和隐患排查治理双重预防机制，企业</w:t>
      </w:r>
      <w:r>
        <w:rPr>
          <w:rFonts w:hint="eastAsia" w:eastAsia="方正仿宋简体" w:cs="方正仿宋简体"/>
          <w:color w:val="auto"/>
          <w:sz w:val="32"/>
          <w:u w:val="none"/>
          <w:lang w:val="en-US" w:eastAsia="zh-CN"/>
        </w:rPr>
        <w:t>安全生产</w:t>
      </w:r>
      <w:r>
        <w:rPr>
          <w:rFonts w:hint="eastAsia" w:ascii="Times New Roman" w:hAnsi="Times New Roman" w:eastAsia="方正仿宋简体" w:cs="方正仿宋简体"/>
          <w:color w:val="auto"/>
          <w:sz w:val="32"/>
          <w:u w:val="none"/>
          <w:lang w:val="en-US" w:eastAsia="zh-CN"/>
        </w:rPr>
        <w:t>主体责任落实不到位。</w:t>
      </w:r>
    </w:p>
    <w:p w14:paraId="34E42B3C">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eastAsia="zh-CN"/>
        </w:rPr>
      </w:pPr>
      <w:r>
        <w:rPr>
          <w:rFonts w:hint="eastAsia" w:ascii="Times New Roman" w:hAnsi="Times New Roman" w:eastAsia="方正仿宋简体" w:cs="方正仿宋简体"/>
          <w:color w:val="auto"/>
          <w:sz w:val="32"/>
          <w:u w:val="none"/>
          <w:lang w:val="en-US" w:eastAsia="zh-CN"/>
        </w:rPr>
        <w:t>2</w:t>
      </w:r>
      <w:r>
        <w:rPr>
          <w:rFonts w:hint="eastAsia" w:ascii="Times New Roman" w:hAnsi="Times New Roman" w:eastAsia="方正仿宋简体" w:cs="方正仿宋简体"/>
          <w:color w:val="auto"/>
          <w:sz w:val="32"/>
          <w:u w:val="none"/>
        </w:rPr>
        <w:t>.厦门甬道星源供应链有限公司，作为闽DK6137号重型半挂牵引车安全管理主体单位，按照《中华人民共和国安全生产法》要求建立安全管理机构，配备安全管理人员，该公司主要负责人谢剑峰、安全员林志福经安全考核合格并取得《道路运输企业主要负责人和安全生产管理人员安全考核合格证明》</w:t>
      </w:r>
      <w:r>
        <w:rPr>
          <w:rFonts w:hint="eastAsia" w:eastAsia="方正仿宋简体" w:cs="方正仿宋简体"/>
          <w:color w:val="auto"/>
          <w:sz w:val="32"/>
          <w:u w:val="none"/>
          <w:lang w:eastAsia="zh-CN"/>
        </w:rPr>
        <w:t>，</w:t>
      </w:r>
      <w:r>
        <w:rPr>
          <w:rFonts w:hint="eastAsia" w:eastAsia="方正仿宋简体" w:cs="方正仿宋简体"/>
          <w:color w:val="auto"/>
          <w:sz w:val="32"/>
          <w:u w:val="none"/>
          <w:lang w:val="en-US" w:eastAsia="zh-CN"/>
        </w:rPr>
        <w:t>该公司</w:t>
      </w:r>
      <w:r>
        <w:rPr>
          <w:rFonts w:hint="eastAsia" w:ascii="Times New Roman" w:hAnsi="Times New Roman" w:eastAsia="方正仿宋简体" w:cs="方正仿宋简体"/>
          <w:color w:val="auto"/>
          <w:sz w:val="32"/>
          <w:u w:val="none"/>
        </w:rPr>
        <w:t>制定并落实</w:t>
      </w:r>
      <w:r>
        <w:rPr>
          <w:rFonts w:hint="eastAsia" w:eastAsia="方正仿宋简体" w:cs="方正仿宋简体"/>
          <w:color w:val="auto"/>
          <w:sz w:val="32"/>
          <w:u w:val="none"/>
          <w:lang w:eastAsia="zh-CN"/>
        </w:rPr>
        <w:t>了</w:t>
      </w:r>
      <w:r>
        <w:rPr>
          <w:rFonts w:hint="eastAsia" w:ascii="Times New Roman" w:hAnsi="Times New Roman" w:eastAsia="方正仿宋简体" w:cs="方正仿宋简体"/>
          <w:color w:val="auto"/>
          <w:sz w:val="32"/>
          <w:u w:val="none"/>
        </w:rPr>
        <w:t>安全生产管理制度，落实了车辆维保工作，公司对驾驶人开展了安全教育和培训，</w:t>
      </w:r>
      <w:r>
        <w:rPr>
          <w:rFonts w:hint="eastAsia" w:ascii="Times New Roman" w:hAnsi="Times New Roman" w:eastAsia="方正仿宋简体" w:cs="方正仿宋简体"/>
          <w:color w:val="auto"/>
          <w:sz w:val="32"/>
          <w:u w:val="none"/>
          <w:lang w:eastAsia="zh-CN"/>
        </w:rPr>
        <w:t>但是</w:t>
      </w:r>
      <w:r>
        <w:rPr>
          <w:rFonts w:hint="eastAsia" w:ascii="Times New Roman" w:hAnsi="Times New Roman" w:eastAsia="方正仿宋简体" w:cs="方正仿宋简体"/>
          <w:color w:val="auto"/>
          <w:sz w:val="32"/>
          <w:u w:val="none"/>
        </w:rPr>
        <w:t>对车辆隐患排查治理工作</w:t>
      </w:r>
      <w:r>
        <w:rPr>
          <w:rFonts w:hint="eastAsia" w:ascii="Times New Roman" w:hAnsi="Times New Roman" w:eastAsia="方正仿宋简体" w:cs="方正仿宋简体"/>
          <w:color w:val="auto"/>
          <w:sz w:val="32"/>
          <w:u w:val="none"/>
          <w:lang w:eastAsia="zh-CN"/>
        </w:rPr>
        <w:t>还存在不到位的情况。</w:t>
      </w:r>
    </w:p>
    <w:p w14:paraId="023A5E1C">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b/>
          <w:bCs/>
          <w:color w:val="auto"/>
          <w:sz w:val="32"/>
          <w:u w:val="single"/>
          <w:lang w:eastAsia="zh-CN"/>
        </w:rPr>
      </w:pPr>
      <w:r>
        <w:rPr>
          <w:rFonts w:hint="eastAsia" w:ascii="Times New Roman" w:hAnsi="Times New Roman" w:eastAsia="方正仿宋简体" w:cs="方正仿宋简体"/>
          <w:color w:val="auto"/>
          <w:sz w:val="32"/>
          <w:u w:val="none"/>
          <w:lang w:val="en-US" w:eastAsia="zh-CN"/>
        </w:rPr>
        <w:t>3</w:t>
      </w:r>
      <w:r>
        <w:rPr>
          <w:rFonts w:hint="eastAsia" w:ascii="Times New Roman" w:hAnsi="Times New Roman" w:eastAsia="方正仿宋简体" w:cs="方正仿宋简体"/>
          <w:color w:val="auto"/>
          <w:sz w:val="32"/>
          <w:u w:val="none"/>
        </w:rPr>
        <w:t>.福建金航物流有限公司，作为闽CH528挂号重型平板自卸半挂车安全管理主体单位，按照《中华人民共和国安全生产法》要求建立安全管理机构，配备安全管理人员，该公司主要负责人谢双技、安全员谢建民经安全考核合格并取得《道路运输企业主要负责人和安全生产管理人员安全考核合格证明》</w:t>
      </w:r>
      <w:r>
        <w:rPr>
          <w:rFonts w:hint="eastAsia" w:eastAsia="方正仿宋简体" w:cs="方正仿宋简体"/>
          <w:color w:val="auto"/>
          <w:sz w:val="32"/>
          <w:u w:val="none"/>
          <w:lang w:eastAsia="zh-CN"/>
        </w:rPr>
        <w:t>，</w:t>
      </w:r>
      <w:r>
        <w:rPr>
          <w:rFonts w:hint="eastAsia" w:eastAsia="方正仿宋简体" w:cs="方正仿宋简体"/>
          <w:color w:val="auto"/>
          <w:sz w:val="32"/>
          <w:u w:val="none"/>
          <w:lang w:val="en-US" w:eastAsia="zh-CN"/>
        </w:rPr>
        <w:t>该公司</w:t>
      </w:r>
      <w:r>
        <w:rPr>
          <w:rFonts w:hint="eastAsia" w:ascii="Times New Roman" w:hAnsi="Times New Roman" w:eastAsia="方正仿宋简体" w:cs="方正仿宋简体"/>
          <w:color w:val="auto"/>
          <w:sz w:val="32"/>
          <w:u w:val="none"/>
        </w:rPr>
        <w:t>制定并落实</w:t>
      </w:r>
      <w:r>
        <w:rPr>
          <w:rFonts w:hint="eastAsia" w:eastAsia="方正仿宋简体" w:cs="方正仿宋简体"/>
          <w:color w:val="auto"/>
          <w:sz w:val="32"/>
          <w:u w:val="none"/>
          <w:lang w:eastAsia="zh-CN"/>
        </w:rPr>
        <w:t>了</w:t>
      </w:r>
      <w:r>
        <w:rPr>
          <w:rFonts w:hint="eastAsia" w:ascii="Times New Roman" w:hAnsi="Times New Roman" w:eastAsia="方正仿宋简体" w:cs="方正仿宋简体"/>
          <w:color w:val="auto"/>
          <w:sz w:val="32"/>
          <w:u w:val="none"/>
        </w:rPr>
        <w:t>安全生产管理制度，落实了车辆维保工作，公司对驾驶人开展了安全教育和培训，但是对车辆隐患排查治理工作还存在不到位的情况。</w:t>
      </w:r>
    </w:p>
    <w:p w14:paraId="1B1CF0B4">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lang w:val="en-US" w:eastAsia="zh-CN"/>
        </w:rPr>
        <w:t>4</w:t>
      </w:r>
      <w:r>
        <w:rPr>
          <w:rFonts w:hint="eastAsia" w:ascii="Times New Roman" w:hAnsi="Times New Roman" w:eastAsia="方正仿宋简体" w:cs="方正仿宋简体"/>
          <w:color w:val="auto"/>
          <w:sz w:val="32"/>
          <w:u w:val="none"/>
        </w:rPr>
        <w:t>.泉州市鑫年供应链管理有限公司，作为王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坤的</w:t>
      </w:r>
      <w:r>
        <w:rPr>
          <w:rFonts w:hint="eastAsia" w:eastAsia="方正仿宋简体" w:cs="方正仿宋简体"/>
          <w:color w:val="auto"/>
          <w:sz w:val="32"/>
          <w:u w:val="none"/>
          <w:lang w:eastAsia="zh-CN"/>
        </w:rPr>
        <w:t>业务</w:t>
      </w:r>
      <w:r>
        <w:rPr>
          <w:rFonts w:hint="eastAsia" w:ascii="Times New Roman" w:hAnsi="Times New Roman" w:eastAsia="方正仿宋简体" w:cs="方正仿宋简体"/>
          <w:color w:val="auto"/>
          <w:sz w:val="32"/>
          <w:u w:val="none"/>
        </w:rPr>
        <w:t>合作对象，通过介绍运输业务给王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坤，按运费的10%进行抽成</w:t>
      </w:r>
      <w:r>
        <w:rPr>
          <w:rFonts w:hint="eastAsia" w:ascii="Times New Roman" w:hAnsi="Times New Roman" w:eastAsia="方正仿宋简体" w:cs="方正仿宋简体"/>
          <w:color w:val="auto"/>
          <w:sz w:val="32"/>
          <w:u w:val="none"/>
          <w:lang w:eastAsia="zh-CN"/>
        </w:rPr>
        <w:t>，两者系合作关系</w:t>
      </w:r>
      <w:r>
        <w:rPr>
          <w:rFonts w:hint="eastAsia" w:ascii="Times New Roman" w:hAnsi="Times New Roman" w:eastAsia="方正仿宋简体" w:cs="方正仿宋简体"/>
          <w:color w:val="auto"/>
          <w:sz w:val="32"/>
          <w:u w:val="none"/>
        </w:rPr>
        <w:t>。</w:t>
      </w:r>
      <w:r>
        <w:rPr>
          <w:rFonts w:hint="eastAsia" w:ascii="Times New Roman" w:hAnsi="Times New Roman" w:eastAsia="方正仿宋简体" w:cs="方正仿宋简体"/>
          <w:color w:val="auto"/>
          <w:sz w:val="32"/>
          <w:u w:val="none"/>
          <w:lang w:eastAsia="zh-CN"/>
        </w:rPr>
        <w:t>该公司</w:t>
      </w:r>
      <w:r>
        <w:rPr>
          <w:rFonts w:hint="eastAsia" w:ascii="Times New Roman" w:hAnsi="Times New Roman" w:eastAsia="方正仿宋简体" w:cs="方正仿宋简体"/>
          <w:color w:val="auto"/>
          <w:sz w:val="32"/>
          <w:u w:val="none"/>
        </w:rPr>
        <w:t>按照《中华人民共和国安全生产法》要求建立安全管理机构，配备安全管理人员，制定并落实安全生产管理制度，落实了</w:t>
      </w:r>
      <w:r>
        <w:rPr>
          <w:rFonts w:hint="eastAsia" w:ascii="Times New Roman" w:hAnsi="Times New Roman" w:eastAsia="方正仿宋简体" w:cs="方正仿宋简体"/>
          <w:color w:val="auto"/>
          <w:sz w:val="32"/>
          <w:u w:val="none"/>
          <w:lang w:eastAsia="zh-CN"/>
        </w:rPr>
        <w:t>自有</w:t>
      </w:r>
      <w:r>
        <w:rPr>
          <w:rFonts w:hint="eastAsia" w:ascii="Times New Roman" w:hAnsi="Times New Roman" w:eastAsia="方正仿宋简体" w:cs="方正仿宋简体"/>
          <w:color w:val="auto"/>
          <w:sz w:val="32"/>
          <w:u w:val="none"/>
        </w:rPr>
        <w:t>车辆维保工作，对</w:t>
      </w:r>
      <w:r>
        <w:rPr>
          <w:rFonts w:hint="eastAsia" w:ascii="Times New Roman" w:hAnsi="Times New Roman" w:eastAsia="方正仿宋简体" w:cs="方正仿宋简体"/>
          <w:color w:val="auto"/>
          <w:sz w:val="32"/>
          <w:u w:val="none"/>
          <w:lang w:eastAsia="zh-CN"/>
        </w:rPr>
        <w:t>公司自有</w:t>
      </w:r>
      <w:r>
        <w:rPr>
          <w:rFonts w:hint="eastAsia" w:ascii="Times New Roman" w:hAnsi="Times New Roman" w:eastAsia="方正仿宋简体" w:cs="方正仿宋简体"/>
          <w:color w:val="auto"/>
          <w:sz w:val="32"/>
          <w:u w:val="none"/>
        </w:rPr>
        <w:t>车辆开展了隐患排查治理工作，对</w:t>
      </w:r>
      <w:r>
        <w:rPr>
          <w:rFonts w:hint="eastAsia" w:ascii="Times New Roman" w:hAnsi="Times New Roman" w:eastAsia="方正仿宋简体" w:cs="方正仿宋简体"/>
          <w:color w:val="auto"/>
          <w:sz w:val="32"/>
          <w:u w:val="none"/>
          <w:lang w:eastAsia="zh-CN"/>
        </w:rPr>
        <w:t>公司自有</w:t>
      </w:r>
      <w:r>
        <w:rPr>
          <w:rFonts w:hint="eastAsia" w:ascii="Times New Roman" w:hAnsi="Times New Roman" w:eastAsia="方正仿宋简体" w:cs="方正仿宋简体"/>
          <w:color w:val="auto"/>
          <w:sz w:val="32"/>
          <w:u w:val="none"/>
        </w:rPr>
        <w:t>驾驶</w:t>
      </w:r>
      <w:r>
        <w:rPr>
          <w:rFonts w:hint="eastAsia" w:ascii="Times New Roman" w:hAnsi="Times New Roman" w:eastAsia="方正仿宋简体" w:cs="方正仿宋简体"/>
          <w:color w:val="auto"/>
          <w:sz w:val="32"/>
          <w:u w:val="none"/>
          <w:lang w:eastAsia="zh-CN"/>
        </w:rPr>
        <w:t>员及合作对象驾驶员</w:t>
      </w:r>
      <w:r>
        <w:rPr>
          <w:rFonts w:hint="eastAsia" w:ascii="Times New Roman" w:hAnsi="Times New Roman" w:eastAsia="方正仿宋简体" w:cs="方正仿宋简体"/>
          <w:color w:val="auto"/>
          <w:sz w:val="32"/>
          <w:u w:val="none"/>
        </w:rPr>
        <w:t>开展了安全教育和培训，</w:t>
      </w:r>
      <w:r>
        <w:rPr>
          <w:rFonts w:hint="eastAsia" w:ascii="Times New Roman" w:hAnsi="Times New Roman" w:eastAsia="方正仿宋简体" w:cs="方正仿宋简体"/>
          <w:color w:val="auto"/>
          <w:sz w:val="32"/>
          <w:u w:val="none"/>
          <w:lang w:eastAsia="zh-CN"/>
        </w:rPr>
        <w:t>但安全教育培训材料整理不规范、隐患排查记录不完整</w:t>
      </w:r>
      <w:r>
        <w:rPr>
          <w:rFonts w:hint="eastAsia" w:ascii="Times New Roman" w:hAnsi="Times New Roman" w:eastAsia="方正仿宋简体" w:cs="方正仿宋简体"/>
          <w:color w:val="auto"/>
          <w:sz w:val="32"/>
          <w:u w:val="none"/>
        </w:rPr>
        <w:t>。</w:t>
      </w:r>
    </w:p>
    <w:p w14:paraId="28050BA7">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七</w:t>
      </w:r>
      <w:r>
        <w:rPr>
          <w:rFonts w:hint="eastAsia" w:ascii="方正楷体简体" w:hAnsi="方正楷体简体" w:eastAsia="方正楷体简体" w:cs="方正楷体简体"/>
          <w:b/>
          <w:color w:val="auto"/>
          <w:sz w:val="32"/>
          <w:szCs w:val="32"/>
          <w:u w:val="none"/>
        </w:rPr>
        <w:t>）事故路段情况</w:t>
      </w:r>
    </w:p>
    <w:p w14:paraId="3161E033">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肇事路段为潮湿、沥青路面，为南北走向，双向四车道，路中设绿化带隔离，单向二车道</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宽7.0米，道路两侧设有非机动车道，机动车道与非机动车道间由绿化带隔离，非机动车道宽3.5米。江滨南路肇事路段由南往北方向设有限速60km/h标志。路型</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平直。</w:t>
      </w:r>
    </w:p>
    <w:p w14:paraId="77E940CD">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八</w:t>
      </w:r>
      <w:r>
        <w:rPr>
          <w:rFonts w:hint="eastAsia" w:ascii="方正楷体简体" w:hAnsi="方正楷体简体" w:eastAsia="方正楷体简体" w:cs="方正楷体简体"/>
          <w:b/>
          <w:color w:val="auto"/>
          <w:sz w:val="32"/>
          <w:szCs w:val="32"/>
          <w:u w:val="none"/>
        </w:rPr>
        <w:t>）事故发生经过</w:t>
      </w:r>
    </w:p>
    <w:p w14:paraId="0B239264">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2025年4月5日5时29分许，王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坤驾驶闽CDN1698号轻型厢式货车</w:t>
      </w:r>
      <w:r>
        <w:rPr>
          <w:rFonts w:hint="eastAsia" w:ascii="Times New Roman" w:hAnsi="Times New Roman" w:eastAsia="方正仿宋简体" w:cs="方正仿宋简体"/>
          <w:color w:val="auto"/>
          <w:sz w:val="32"/>
          <w:u w:val="none"/>
          <w:lang w:eastAsia="zh-CN"/>
        </w:rPr>
        <w:t>运载由泉州市鑫年供应链管理有限公司介绍业务的水果货物，</w:t>
      </w:r>
      <w:r>
        <w:rPr>
          <w:rFonts w:hint="eastAsia" w:ascii="Times New Roman" w:hAnsi="Times New Roman" w:eastAsia="方正仿宋简体" w:cs="方正仿宋简体"/>
          <w:color w:val="auto"/>
          <w:sz w:val="32"/>
          <w:u w:val="none"/>
        </w:rPr>
        <w:t>以超过限速标志标明最高时速的速度</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72km/h</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沿江滨南路由南往北方向于右侧车道行驶至鲤城区江滨南路源昌江南城路段，追尾同车道前侧由龚</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伟驾驶闽DK6137号重型半挂牵引车牵引的闽CH528挂号重型平板自卸半挂车，造成王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坤当场死亡及两车受损的交通事故。</w:t>
      </w:r>
    </w:p>
    <w:p w14:paraId="152E97D7">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九</w:t>
      </w:r>
      <w:r>
        <w:rPr>
          <w:rFonts w:hint="eastAsia" w:ascii="方正楷体简体" w:hAnsi="方正楷体简体" w:eastAsia="方正楷体简体" w:cs="方正楷体简体"/>
          <w:b/>
          <w:color w:val="auto"/>
          <w:sz w:val="32"/>
          <w:szCs w:val="32"/>
          <w:u w:val="none"/>
        </w:rPr>
        <w:t>）人员伤亡和直接经济损失情况</w:t>
      </w:r>
    </w:p>
    <w:p w14:paraId="66D91DA2">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本起事故造成1人死亡，造成直接经济损失为</w:t>
      </w:r>
      <w:r>
        <w:rPr>
          <w:rFonts w:hint="eastAsia" w:eastAsia="方正仿宋简体" w:cs="方正仿宋简体"/>
          <w:color w:val="auto"/>
          <w:sz w:val="32"/>
          <w:u w:val="none"/>
          <w:lang w:val="en-US" w:eastAsia="zh-CN"/>
        </w:rPr>
        <w:t>20</w:t>
      </w:r>
      <w:r>
        <w:rPr>
          <w:rFonts w:hint="eastAsia" w:ascii="Times New Roman" w:hAnsi="Times New Roman" w:eastAsia="方正仿宋简体" w:cs="方正仿宋简体"/>
          <w:color w:val="auto"/>
          <w:sz w:val="32"/>
          <w:u w:val="none"/>
        </w:rPr>
        <w:t>万元</w:t>
      </w:r>
      <w:r>
        <w:rPr>
          <w:rFonts w:hint="eastAsia" w:eastAsia="方正仿宋简体" w:cs="方正仿宋简体"/>
          <w:color w:val="auto"/>
          <w:sz w:val="32"/>
          <w:u w:val="none"/>
          <w:lang w:eastAsia="zh-CN"/>
        </w:rPr>
        <w:t>（</w:t>
      </w:r>
      <w:r>
        <w:rPr>
          <w:rFonts w:hint="eastAsia" w:eastAsia="方正仿宋简体" w:cs="方正仿宋简体"/>
          <w:color w:val="auto"/>
          <w:sz w:val="32"/>
          <w:u w:val="none"/>
          <w:lang w:val="en-US" w:eastAsia="zh-CN"/>
        </w:rPr>
        <w:t>含车辆损失10万元，死者</w:t>
      </w:r>
      <w:r>
        <w:rPr>
          <w:rFonts w:hint="eastAsia" w:ascii="Times New Roman" w:hAnsi="Times New Roman" w:eastAsia="方正仿宋简体" w:cs="方正仿宋简体"/>
          <w:color w:val="auto"/>
          <w:sz w:val="32"/>
          <w:u w:val="none"/>
          <w:lang w:eastAsia="zh-CN"/>
        </w:rPr>
        <w:t>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eastAsia="zh-CN"/>
        </w:rPr>
        <w:t>坤</w:t>
      </w:r>
      <w:r>
        <w:rPr>
          <w:rFonts w:hint="eastAsia" w:eastAsia="方正仿宋简体" w:cs="方正仿宋简体"/>
          <w:color w:val="auto"/>
          <w:sz w:val="32"/>
          <w:u w:val="none"/>
          <w:lang w:val="en-US" w:eastAsia="zh-CN"/>
        </w:rPr>
        <w:t>保险理赔10万元</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w:t>
      </w:r>
    </w:p>
    <w:p w14:paraId="33269604">
      <w:pPr>
        <w:keepNext w:val="0"/>
        <w:keepLines w:val="0"/>
        <w:pageBreakBefore w:val="0"/>
        <w:widowControl w:val="0"/>
        <w:kinsoku/>
        <w:wordWrap w:val="0"/>
        <w:topLinePunct w:val="0"/>
        <w:bidi w:val="0"/>
        <w:adjustRightInd/>
        <w:snapToGrid/>
        <w:spacing w:line="57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二、事故应急处置及评估情况</w:t>
      </w:r>
    </w:p>
    <w:p w14:paraId="24BBA205">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（一）事故信息接报及响应情况</w:t>
      </w:r>
    </w:p>
    <w:p w14:paraId="62004EF3">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default"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rPr>
        <w:t>2025年4月5日5时33分许，泉州市公安局指挥中心接群众电话报警称</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“其驾驶的闽DK6137号大货车与闽CDN1698小货车追尾，小货车驾驶员被困”。5时35分许，</w:t>
      </w:r>
      <w:r>
        <w:rPr>
          <w:rFonts w:hint="eastAsia" w:eastAsia="方正仿宋简体" w:cs="方正仿宋简体"/>
          <w:color w:val="auto"/>
          <w:sz w:val="32"/>
          <w:u w:val="none"/>
          <w:lang w:eastAsia="zh-CN"/>
        </w:rPr>
        <w:t>交警鲤城大队接指令赴事故发生地</w:t>
      </w:r>
      <w:r>
        <w:rPr>
          <w:rFonts w:hint="eastAsia" w:ascii="Times New Roman" w:hAnsi="Times New Roman" w:eastAsia="方正仿宋简体" w:cs="方正仿宋简体"/>
          <w:color w:val="auto"/>
          <w:sz w:val="32"/>
          <w:u w:val="none"/>
        </w:rPr>
        <w:t>鲤城区浮桥街道江滨南路源昌江南城路段</w:t>
      </w:r>
      <w:r>
        <w:rPr>
          <w:rFonts w:hint="eastAsia" w:eastAsia="方正仿宋简体" w:cs="方正仿宋简体"/>
          <w:color w:val="auto"/>
          <w:sz w:val="32"/>
          <w:u w:val="none"/>
          <w:lang w:eastAsia="zh-CN"/>
        </w:rPr>
        <w:t>展开事故处置。</w:t>
      </w:r>
      <w:r>
        <w:rPr>
          <w:rFonts w:hint="eastAsia" w:ascii="Times New Roman" w:hAnsi="Times New Roman" w:eastAsia="方正仿宋简体" w:cs="方正仿宋简体"/>
          <w:color w:val="auto"/>
          <w:sz w:val="32"/>
          <w:u w:val="none"/>
        </w:rPr>
        <w:t>5时48分许，</w:t>
      </w:r>
      <w:r>
        <w:rPr>
          <w:rFonts w:hint="eastAsia" w:eastAsia="方正仿宋简体" w:cs="方正仿宋简体"/>
          <w:color w:val="auto"/>
          <w:sz w:val="32"/>
          <w:u w:val="none"/>
          <w:lang w:eastAsia="zh-CN"/>
        </w:rPr>
        <w:t>增员至现场开展查处工作。</w:t>
      </w:r>
      <w:r>
        <w:rPr>
          <w:rFonts w:hint="eastAsia" w:ascii="Times New Roman" w:hAnsi="Times New Roman" w:eastAsia="方正仿宋简体" w:cs="方正仿宋简体"/>
          <w:color w:val="auto"/>
          <w:sz w:val="32"/>
          <w:u w:val="none"/>
        </w:rPr>
        <w:t>119、120急救中心</w:t>
      </w:r>
      <w:r>
        <w:rPr>
          <w:rFonts w:hint="eastAsia" w:eastAsia="方正仿宋简体" w:cs="方正仿宋简体"/>
          <w:color w:val="auto"/>
          <w:sz w:val="32"/>
          <w:u w:val="none"/>
          <w:lang w:eastAsia="zh-CN"/>
        </w:rPr>
        <w:t>于</w:t>
      </w:r>
      <w:r>
        <w:rPr>
          <w:rFonts w:hint="eastAsia" w:eastAsia="方正仿宋简体" w:cs="方正仿宋简体"/>
          <w:color w:val="auto"/>
          <w:sz w:val="32"/>
          <w:u w:val="none"/>
          <w:lang w:val="en-US" w:eastAsia="zh-CN"/>
        </w:rPr>
        <w:t>5时35分接警赶赴现场。</w:t>
      </w:r>
    </w:p>
    <w:p w14:paraId="47F08B8A">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（二）事故现场应急处置情况</w:t>
      </w:r>
    </w:p>
    <w:p w14:paraId="13DDAB71">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2025年4月5日5时40分许，交警鲤城大队到达现场</w:t>
      </w:r>
      <w:r>
        <w:rPr>
          <w:rFonts w:hint="eastAsia" w:eastAsia="方正仿宋简体" w:cs="方正仿宋简体"/>
          <w:color w:val="auto"/>
          <w:sz w:val="32"/>
          <w:u w:val="none"/>
          <w:lang w:eastAsia="zh-CN"/>
        </w:rPr>
        <w:t>后</w:t>
      </w:r>
      <w:r>
        <w:rPr>
          <w:rFonts w:hint="eastAsia" w:ascii="Times New Roman" w:hAnsi="Times New Roman" w:eastAsia="方正仿宋简体" w:cs="方正仿宋简体"/>
          <w:color w:val="auto"/>
          <w:sz w:val="32"/>
          <w:u w:val="none"/>
        </w:rPr>
        <w:t>，开展现场安全防护、组织抢救受伤人员、调查取证等工作。119、120急救中心</w:t>
      </w:r>
      <w:r>
        <w:rPr>
          <w:rFonts w:hint="eastAsia" w:eastAsia="方正仿宋简体" w:cs="方正仿宋简体"/>
          <w:color w:val="auto"/>
          <w:sz w:val="32"/>
          <w:u w:val="none"/>
          <w:lang w:eastAsia="zh-CN"/>
        </w:rPr>
        <w:t>到达现场后，立即组织人员开展救援和抢救工作。</w:t>
      </w:r>
      <w:r>
        <w:rPr>
          <w:rFonts w:hint="eastAsia" w:ascii="Times New Roman" w:hAnsi="Times New Roman" w:eastAsia="方正仿宋简体" w:cs="方正仿宋简体"/>
          <w:color w:val="auto"/>
          <w:sz w:val="32"/>
          <w:u w:val="none"/>
        </w:rPr>
        <w:t>6时许，经120急救医生现场检查确认，闽CDN1698小货车驾驶人</w:t>
      </w:r>
      <w:r>
        <w:rPr>
          <w:rFonts w:hint="eastAsia" w:ascii="Times New Roman" w:hAnsi="Times New Roman" w:eastAsia="方正仿宋简体" w:cs="方正仿宋简体"/>
          <w:color w:val="auto"/>
          <w:sz w:val="32"/>
          <w:u w:val="none"/>
          <w:lang w:eastAsia="zh-CN"/>
        </w:rPr>
        <w:t>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eastAsia="zh-CN"/>
        </w:rPr>
        <w:t>坤</w:t>
      </w:r>
      <w:r>
        <w:rPr>
          <w:rFonts w:hint="eastAsia" w:ascii="Times New Roman" w:hAnsi="Times New Roman" w:eastAsia="方正仿宋简体" w:cs="方正仿宋简体"/>
          <w:color w:val="auto"/>
          <w:sz w:val="32"/>
          <w:u w:val="none"/>
        </w:rPr>
        <w:t>已无生命体征。</w:t>
      </w:r>
    </w:p>
    <w:p w14:paraId="064D9DA7">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三</w:t>
      </w:r>
      <w:r>
        <w:rPr>
          <w:rFonts w:hint="eastAsia" w:ascii="方正楷体简体" w:hAnsi="方正楷体简体" w:eastAsia="方正楷体简体" w:cs="方正楷体简体"/>
          <w:b/>
          <w:color w:val="auto"/>
          <w:sz w:val="32"/>
          <w:szCs w:val="32"/>
          <w:u w:val="none"/>
        </w:rPr>
        <w:t>）医疗救治和善后情况</w:t>
      </w:r>
    </w:p>
    <w:p w14:paraId="7B46895F">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eastAsia="zh-CN"/>
        </w:rPr>
      </w:pPr>
      <w:r>
        <w:rPr>
          <w:rFonts w:hint="eastAsia" w:ascii="Times New Roman" w:hAnsi="Times New Roman" w:eastAsia="方正仿宋简体" w:cs="方正仿宋简体"/>
          <w:color w:val="auto"/>
          <w:sz w:val="32"/>
          <w:u w:val="none"/>
          <w:lang w:eastAsia="zh-CN"/>
        </w:rPr>
        <w:t>120急救人员接警后，立即组织到达现场组织抢救工作，119到达现场参与施救。当天6时许，经120急救医生现场检查确认，闽CDN1698小货车驾驶人王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eastAsia="zh-CN"/>
        </w:rPr>
        <w:t>坤已无生命体征。当天7时许，现场勘查工作结束。当天8时许，经初步判断死者身份信息后，经办民警随即联系其家属前来确认。当天10时许，</w:t>
      </w:r>
      <w:r>
        <w:rPr>
          <w:rFonts w:hint="eastAsia" w:eastAsia="方正仿宋简体" w:cs="方正仿宋简体"/>
          <w:color w:val="auto"/>
          <w:sz w:val="32"/>
          <w:u w:val="none"/>
          <w:lang w:eastAsia="zh-CN"/>
        </w:rPr>
        <w:t>死者身份得到家属进一步确认</w:t>
      </w:r>
      <w:r>
        <w:rPr>
          <w:rFonts w:hint="eastAsia" w:ascii="Times New Roman" w:hAnsi="Times New Roman" w:eastAsia="方正仿宋简体" w:cs="方正仿宋简体"/>
          <w:color w:val="auto"/>
          <w:sz w:val="32"/>
          <w:u w:val="none"/>
          <w:lang w:eastAsia="zh-CN"/>
        </w:rPr>
        <w:t>，经办民警向死者家属告知事故初步调查情况、案件办理进度及后续处理流程，详细了解了死者家属相关诉求，并做好解答安抚工作。</w:t>
      </w:r>
    </w:p>
    <w:p w14:paraId="3DBB869A">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四</w:t>
      </w:r>
      <w:r>
        <w:rPr>
          <w:rFonts w:hint="eastAsia" w:ascii="方正楷体简体" w:hAnsi="方正楷体简体" w:eastAsia="方正楷体简体" w:cs="方正楷体简体"/>
          <w:b/>
          <w:color w:val="auto"/>
          <w:sz w:val="32"/>
          <w:szCs w:val="32"/>
          <w:u w:val="none"/>
        </w:rPr>
        <w:t>）事故应急处置评估</w:t>
      </w:r>
    </w:p>
    <w:p w14:paraId="6651BBC4">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eastAsia="zh-CN"/>
        </w:rPr>
      </w:pPr>
      <w:r>
        <w:rPr>
          <w:rFonts w:hint="eastAsia" w:ascii="Times New Roman" w:hAnsi="Times New Roman" w:eastAsia="方正仿宋简体" w:cs="方正仿宋简体"/>
          <w:color w:val="auto"/>
          <w:sz w:val="32"/>
          <w:u w:val="none"/>
          <w:lang w:eastAsia="zh-CN"/>
        </w:rPr>
        <w:t>本起事故应急处置到位，政府信息报送渠道畅通、信息流转及时、组织指挥有力、应急响应到位、舆情社情平稳，未发生次生、衍生事故。</w:t>
      </w:r>
    </w:p>
    <w:p w14:paraId="7CB4F6EF">
      <w:pPr>
        <w:keepNext w:val="0"/>
        <w:keepLines w:val="0"/>
        <w:pageBreakBefore w:val="0"/>
        <w:widowControl w:val="0"/>
        <w:kinsoku/>
        <w:wordWrap w:val="0"/>
        <w:topLinePunct w:val="0"/>
        <w:bidi w:val="0"/>
        <w:adjustRightInd/>
        <w:snapToGrid/>
        <w:spacing w:line="57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三、事故原因分析</w:t>
      </w:r>
    </w:p>
    <w:p w14:paraId="6EA5AB34">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eastAsia="zh-CN"/>
        </w:rPr>
      </w:pPr>
      <w:r>
        <w:rPr>
          <w:rFonts w:hint="eastAsia" w:ascii="Times New Roman" w:hAnsi="Times New Roman" w:eastAsia="方正仿宋简体" w:cs="方正仿宋简体"/>
          <w:color w:val="auto"/>
          <w:sz w:val="32"/>
          <w:u w:val="none"/>
          <w:lang w:eastAsia="zh-CN"/>
        </w:rPr>
        <w:t>（一）王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eastAsia="zh-CN"/>
        </w:rPr>
        <w:t>坤驾驶闽CDN1698号轻型厢式货车超速行驶至设有限速标志的肇事路段时，未与前车保持足以采取紧急制动措施的安全距离，致发生交通事故，其行为违反了《中华人民共和国道路交通安全法》的相关规定，是造成本起事故的直接原因。</w:t>
      </w:r>
    </w:p>
    <w:p w14:paraId="3A9594A3">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eastAsia="zh-CN"/>
        </w:rPr>
      </w:pPr>
      <w:r>
        <w:rPr>
          <w:rFonts w:hint="eastAsia" w:ascii="Times New Roman" w:hAnsi="Times New Roman" w:eastAsia="方正仿宋简体" w:cs="方正仿宋简体"/>
          <w:color w:val="auto"/>
          <w:sz w:val="32"/>
          <w:u w:val="none"/>
          <w:lang w:eastAsia="zh-CN"/>
        </w:rPr>
        <w:t>（二）泉州百畅物流有限公司办理机动车登记未如实申告使用性质，将从事运输经营的货运车辆登记为“非营运”，也未按规定申请办理车辆使用性质的变更登记，未构建安全风险分级管控和隐患排查治理双重预防机制，未对其名下</w:t>
      </w:r>
      <w:r>
        <w:rPr>
          <w:rFonts w:hint="eastAsia" w:eastAsia="方正仿宋简体" w:cs="方正仿宋简体"/>
          <w:color w:val="auto"/>
          <w:sz w:val="32"/>
          <w:u w:val="none"/>
          <w:lang w:eastAsia="zh-CN"/>
        </w:rPr>
        <w:t>300多辆</w:t>
      </w:r>
      <w:r>
        <w:rPr>
          <w:rFonts w:hint="eastAsia" w:ascii="Times New Roman" w:hAnsi="Times New Roman" w:eastAsia="方正仿宋简体" w:cs="方正仿宋简体"/>
          <w:color w:val="auto"/>
          <w:sz w:val="32"/>
          <w:u w:val="none"/>
          <w:lang w:eastAsia="zh-CN"/>
        </w:rPr>
        <w:t>货运车辆开展隐患排查治理工作，未落实货运车辆及驾驶员安全管理制度，是造成本起事故的间接原因。</w:t>
      </w:r>
    </w:p>
    <w:p w14:paraId="4E52D3D4">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四、有关监管部门存在的主要问题</w:t>
      </w:r>
    </w:p>
    <w:p w14:paraId="49895943">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eastAsia="zh-CN"/>
        </w:rPr>
      </w:pP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lang w:val="en-US" w:eastAsia="zh-CN"/>
        </w:rPr>
        <w:t>一</w:t>
      </w:r>
      <w:r>
        <w:rPr>
          <w:rFonts w:hint="eastAsia" w:ascii="Times New Roman" w:hAnsi="Times New Roman" w:eastAsia="方正仿宋简体" w:cs="方正仿宋简体"/>
          <w:color w:val="auto"/>
          <w:sz w:val="32"/>
          <w:u w:val="none"/>
          <w:lang w:eastAsia="zh-CN"/>
        </w:rPr>
        <w:t>）泉州市公安局交通警察支队鲤城大队对辖区内车辆超速等交通违法行为</w:t>
      </w:r>
      <w:r>
        <w:rPr>
          <w:rFonts w:hint="eastAsia" w:eastAsia="方正仿宋简体" w:cs="方正仿宋简体"/>
          <w:color w:val="auto"/>
          <w:sz w:val="32"/>
          <w:u w:val="none"/>
          <w:lang w:eastAsia="zh-CN"/>
        </w:rPr>
        <w:t>查纠</w:t>
      </w:r>
      <w:r>
        <w:rPr>
          <w:rFonts w:hint="eastAsia" w:ascii="Times New Roman" w:hAnsi="Times New Roman" w:eastAsia="方正仿宋简体" w:cs="方正仿宋简体"/>
          <w:color w:val="auto"/>
          <w:sz w:val="32"/>
          <w:u w:val="none"/>
          <w:lang w:eastAsia="zh-CN"/>
        </w:rPr>
        <w:t>力度不够。</w:t>
      </w:r>
    </w:p>
    <w:p w14:paraId="200A152D">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default"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lang w:eastAsia="zh-CN"/>
        </w:rPr>
        <w:t>（二）</w:t>
      </w:r>
      <w:r>
        <w:rPr>
          <w:rFonts w:hint="eastAsia" w:ascii="Times New Roman" w:hAnsi="Times New Roman" w:eastAsia="方正仿宋简体" w:cs="方正仿宋简体"/>
          <w:color w:val="auto"/>
          <w:sz w:val="32"/>
          <w:u w:val="none"/>
          <w:lang w:val="en-US" w:eastAsia="zh-CN"/>
        </w:rPr>
        <w:t>泉州市交通运输局对辖区道路普通货物运输企业具有实施“行政处罚以及与行政处罚相关的行政检查”的工作职责，未能及时发现并纠正泉州百畅物流有限公司未履行安全生产职责的问题，对该公司安全生产监督管理不到位。</w:t>
      </w:r>
    </w:p>
    <w:p w14:paraId="5D45C811">
      <w:pPr>
        <w:keepNext w:val="0"/>
        <w:keepLines w:val="0"/>
        <w:pageBreakBefore w:val="0"/>
        <w:widowControl w:val="0"/>
        <w:kinsoku/>
        <w:wordWrap w:val="0"/>
        <w:topLinePunct w:val="0"/>
        <w:bidi w:val="0"/>
        <w:adjustRightInd/>
        <w:snapToGrid/>
        <w:spacing w:line="57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五、对有关责任人员和责任单位的处理建议</w:t>
      </w:r>
    </w:p>
    <w:p w14:paraId="1B882411">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（一）因在事故中死亡免予或不予追究责任人员</w:t>
      </w:r>
    </w:p>
    <w:p w14:paraId="1AA0E558">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rPr>
        <w:t>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坤，系事故中死者，</w:t>
      </w:r>
      <w:r>
        <w:rPr>
          <w:rFonts w:hint="eastAsia" w:ascii="Times New Roman" w:hAnsi="Times New Roman" w:eastAsia="方正仿宋简体" w:cs="方正仿宋简体"/>
          <w:color w:val="auto"/>
          <w:sz w:val="32"/>
          <w:u w:val="none"/>
          <w:lang w:eastAsia="zh-CN"/>
        </w:rPr>
        <w:t>其</w:t>
      </w:r>
      <w:r>
        <w:rPr>
          <w:rFonts w:hint="eastAsia" w:ascii="Times New Roman" w:hAnsi="Times New Roman" w:eastAsia="方正仿宋简体" w:cs="方正仿宋简体"/>
          <w:color w:val="auto"/>
          <w:sz w:val="32"/>
          <w:u w:val="none"/>
        </w:rPr>
        <w:t>驾驶闽CDN1698号轻型厢式货车超速行驶至设有限速标志的肇事路段时，未与前车保持足以采取紧急制动措施的安全距离，致发生交通事故，其行为违反了《中华人民共和国道路交通安全法》第四十二条第一款及第四十三条第一款之规定，</w:t>
      </w:r>
      <w:r>
        <w:rPr>
          <w:rFonts w:hint="eastAsia" w:ascii="Times New Roman" w:hAnsi="Times New Roman" w:eastAsia="方正仿宋简体" w:cs="方正仿宋简体"/>
          <w:color w:val="auto"/>
          <w:sz w:val="32"/>
          <w:u w:val="none"/>
          <w:lang w:eastAsia="zh-CN"/>
        </w:rPr>
        <w:t>对本起事故负有直接责任</w:t>
      </w:r>
      <w:r>
        <w:rPr>
          <w:rFonts w:hint="eastAsia" w:ascii="Times New Roman" w:hAnsi="Times New Roman" w:eastAsia="方正仿宋简体" w:cs="方正仿宋简体"/>
          <w:color w:val="auto"/>
          <w:sz w:val="32"/>
          <w:u w:val="none"/>
        </w:rPr>
        <w:t>。鉴于王</w:t>
      </w:r>
      <w:r>
        <w:rPr>
          <w:rFonts w:hint="eastAsia" w:eastAsia="方正仿宋简体" w:cs="方正仿宋简体"/>
          <w:color w:val="auto"/>
          <w:sz w:val="32"/>
          <w:u w:val="none"/>
          <w:lang w:val="en-US" w:eastAsia="zh-CN"/>
        </w:rPr>
        <w:t>*</w:t>
      </w:r>
      <w:bookmarkStart w:id="0" w:name="_GoBack"/>
      <w:bookmarkEnd w:id="0"/>
      <w:r>
        <w:rPr>
          <w:rFonts w:hint="eastAsia" w:ascii="Times New Roman" w:hAnsi="Times New Roman" w:eastAsia="方正仿宋简体" w:cs="方正仿宋简体"/>
          <w:color w:val="auto"/>
          <w:sz w:val="32"/>
          <w:u w:val="none"/>
        </w:rPr>
        <w:t>坤已在事故中死亡，不追究其责任。</w:t>
      </w:r>
    </w:p>
    <w:p w14:paraId="7B636A1F">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（二）对有关企业人员的处理建议</w:t>
      </w:r>
    </w:p>
    <w:p w14:paraId="32ED1A93">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val="en-US" w:eastAsia="zh-CN"/>
        </w:rPr>
      </w:pPr>
      <w:r>
        <w:rPr>
          <w:rFonts w:hint="eastAsia" w:ascii="Times New Roman" w:hAnsi="Times New Roman" w:eastAsia="方正仿宋简体" w:cs="方正仿宋简体"/>
          <w:color w:val="auto"/>
          <w:sz w:val="32"/>
          <w:u w:val="none"/>
          <w:lang w:val="en-US" w:eastAsia="zh-CN"/>
        </w:rPr>
        <w:t>1.宁健功，男，中共党员，泉州百畅物流有限公司董事</w:t>
      </w:r>
      <w:r>
        <w:rPr>
          <w:rFonts w:hint="eastAsia" w:eastAsia="方正仿宋简体" w:cs="方正仿宋简体"/>
          <w:color w:val="auto"/>
          <w:sz w:val="32"/>
          <w:u w:val="none"/>
          <w:lang w:val="en-US" w:eastAsia="zh-CN"/>
        </w:rPr>
        <w:t>兼法定代表人</w:t>
      </w:r>
      <w:r>
        <w:rPr>
          <w:rFonts w:hint="eastAsia" w:ascii="Times New Roman" w:hAnsi="Times New Roman" w:eastAsia="方正仿宋简体" w:cs="方正仿宋简体"/>
          <w:color w:val="auto"/>
          <w:sz w:val="32"/>
          <w:u w:val="none"/>
          <w:lang w:val="en-US" w:eastAsia="zh-CN"/>
        </w:rPr>
        <w:t>，未组织制定并实施本</w:t>
      </w:r>
      <w:r>
        <w:rPr>
          <w:rFonts w:hint="eastAsia" w:eastAsia="方正仿宋简体" w:cs="方正仿宋简体"/>
          <w:color w:val="auto"/>
          <w:sz w:val="32"/>
          <w:u w:val="none"/>
          <w:lang w:val="en-US" w:eastAsia="zh-CN"/>
        </w:rPr>
        <w:t>公司</w:t>
      </w:r>
      <w:r>
        <w:rPr>
          <w:rFonts w:hint="eastAsia" w:ascii="Times New Roman" w:hAnsi="Times New Roman" w:eastAsia="方正仿宋简体" w:cs="方正仿宋简体"/>
          <w:color w:val="auto"/>
          <w:sz w:val="32"/>
          <w:u w:val="none"/>
          <w:lang w:val="en-US" w:eastAsia="zh-CN"/>
        </w:rPr>
        <w:t>安全生产规章制度</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操作规程</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安全生产教育和培训计划，</w:t>
      </w:r>
      <w:r>
        <w:rPr>
          <w:rFonts w:hint="eastAsia" w:eastAsia="方正仿宋简体" w:cs="方正仿宋简体"/>
          <w:color w:val="auto"/>
          <w:sz w:val="32"/>
          <w:u w:val="none"/>
          <w:lang w:val="en-US" w:eastAsia="zh-CN"/>
        </w:rPr>
        <w:t>未</w:t>
      </w:r>
      <w:r>
        <w:rPr>
          <w:rFonts w:hint="eastAsia" w:ascii="Times New Roman" w:hAnsi="Times New Roman" w:eastAsia="方正仿宋简体" w:cs="方正仿宋简体"/>
          <w:color w:val="auto"/>
          <w:sz w:val="32"/>
          <w:u w:val="none"/>
          <w:lang w:val="en-US" w:eastAsia="zh-CN"/>
        </w:rPr>
        <w:t>组织建立并落实安全风险分级管控和隐患排查治理双重预防工作机制</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lang w:val="en-US" w:eastAsia="zh-CN"/>
        </w:rPr>
        <w:t>未依法履行生产经营单位主要负责人的安全生产管理职责，对事故的发生负有重要责任，建议由鲤城区应急管理局对其依法依规处理。</w:t>
      </w:r>
    </w:p>
    <w:p w14:paraId="19EC0197">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rPr>
      </w:pPr>
      <w:r>
        <w:rPr>
          <w:rFonts w:hint="eastAsia" w:ascii="Times New Roman" w:hAnsi="Times New Roman" w:eastAsia="方正仿宋简体" w:cs="方正仿宋简体"/>
          <w:color w:val="auto"/>
          <w:sz w:val="32"/>
          <w:u w:val="none"/>
          <w:lang w:val="en-US" w:eastAsia="zh-CN"/>
        </w:rPr>
        <w:t>2.</w:t>
      </w:r>
      <w:r>
        <w:rPr>
          <w:rFonts w:hint="eastAsia" w:ascii="Times New Roman" w:hAnsi="Times New Roman" w:eastAsia="方正仿宋简体" w:cs="方正仿宋简体"/>
          <w:color w:val="auto"/>
          <w:sz w:val="32"/>
          <w:u w:val="none"/>
        </w:rPr>
        <w:t>龚</w:t>
      </w:r>
      <w:r>
        <w:rPr>
          <w:rFonts w:hint="eastAsia" w:eastAsia="方正仿宋简体" w:cs="方正仿宋简体"/>
          <w:color w:val="auto"/>
          <w:sz w:val="32"/>
          <w:u w:val="none"/>
          <w:lang w:val="en-US" w:eastAsia="zh-CN"/>
        </w:rPr>
        <w:t>*</w:t>
      </w:r>
      <w:r>
        <w:rPr>
          <w:rFonts w:hint="eastAsia" w:ascii="Times New Roman" w:hAnsi="Times New Roman" w:eastAsia="方正仿宋简体" w:cs="方正仿宋简体"/>
          <w:color w:val="auto"/>
          <w:sz w:val="32"/>
          <w:u w:val="none"/>
        </w:rPr>
        <w:t>伟驾驶闽DK6137号重型半挂牵引车，牵引安全设施不全的闽CH528挂号重型平板自卸半挂车行驶</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其行为违反了《中华人民共和国道路交通安全法》第二十一条之规定</w:t>
      </w:r>
      <w:r>
        <w:rPr>
          <w:rFonts w:hint="eastAsia" w:ascii="Times New Roman" w:hAnsi="Times New Roman"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建议由泉州市公安局交通警察支队鲤城大队依法依规予以处理。</w:t>
      </w:r>
    </w:p>
    <w:p w14:paraId="053398C5">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三</w:t>
      </w:r>
      <w:r>
        <w:rPr>
          <w:rFonts w:hint="eastAsia" w:ascii="方正楷体简体" w:hAnsi="方正楷体简体" w:eastAsia="方正楷体简体" w:cs="方正楷体简体"/>
          <w:b/>
          <w:color w:val="auto"/>
          <w:sz w:val="32"/>
          <w:szCs w:val="32"/>
          <w:u w:val="none"/>
        </w:rPr>
        <w:t>）对事故有关责任单位的行政处罚建议</w:t>
      </w:r>
    </w:p>
    <w:p w14:paraId="0D35130E">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single"/>
          <w:lang w:eastAsia="zh-CN"/>
        </w:rPr>
      </w:pPr>
      <w:r>
        <w:rPr>
          <w:rFonts w:hint="eastAsia" w:ascii="Times New Roman" w:hAnsi="Times New Roman" w:eastAsia="方正仿宋简体" w:cs="方正仿宋简体"/>
          <w:color w:val="auto"/>
          <w:sz w:val="32"/>
          <w:u w:val="none"/>
        </w:rPr>
        <w:t>泉州百畅物流有限公司未制定并落实安全生产规章制度</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安全生产</w:t>
      </w:r>
      <w:r>
        <w:rPr>
          <w:rFonts w:hint="eastAsia" w:eastAsia="方正仿宋简体" w:cs="方正仿宋简体"/>
          <w:color w:val="auto"/>
          <w:sz w:val="32"/>
          <w:u w:val="none"/>
          <w:lang w:val="en-US" w:eastAsia="zh-CN"/>
        </w:rPr>
        <w:t>教育</w:t>
      </w:r>
      <w:r>
        <w:rPr>
          <w:rFonts w:hint="eastAsia" w:ascii="Times New Roman" w:hAnsi="Times New Roman" w:eastAsia="方正仿宋简体" w:cs="方正仿宋简体"/>
          <w:color w:val="auto"/>
          <w:sz w:val="32"/>
          <w:u w:val="none"/>
        </w:rPr>
        <w:t>培训计划，未落实车辆安全管理，未对公司名下300多辆货运车辆开展隐患排查治理工作</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办理机动车登记未如实申告使用性质，将从事运输经营的货运车辆登记为“非营运”，也未按规定申请办理车辆使用性质的变更登记，未构建安全风险分级管控和隐患排查治理双重预防机制，未落实货运车辆及驾驶员安全管理制度，企业</w:t>
      </w:r>
      <w:r>
        <w:rPr>
          <w:rFonts w:hint="eastAsia" w:eastAsia="方正仿宋简体" w:cs="方正仿宋简体"/>
          <w:color w:val="auto"/>
          <w:sz w:val="32"/>
          <w:u w:val="none"/>
          <w:lang w:val="en-US" w:eastAsia="zh-CN"/>
        </w:rPr>
        <w:t>安全生产</w:t>
      </w:r>
      <w:r>
        <w:rPr>
          <w:rFonts w:hint="eastAsia" w:ascii="Times New Roman" w:hAnsi="Times New Roman" w:eastAsia="方正仿宋简体" w:cs="方正仿宋简体"/>
          <w:color w:val="auto"/>
          <w:sz w:val="32"/>
          <w:u w:val="none"/>
        </w:rPr>
        <w:t>主体责任落实不到位</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rPr>
        <w:t>对事故的发生负有</w:t>
      </w:r>
      <w:r>
        <w:rPr>
          <w:rFonts w:hint="eastAsia" w:ascii="Times New Roman" w:hAnsi="Times New Roman" w:eastAsia="方正仿宋简体" w:cs="方正仿宋简体"/>
          <w:color w:val="auto"/>
          <w:sz w:val="32"/>
          <w:u w:val="none"/>
          <w:lang w:eastAsia="zh-CN"/>
        </w:rPr>
        <w:t>重要</w:t>
      </w:r>
      <w:r>
        <w:rPr>
          <w:rFonts w:hint="eastAsia" w:ascii="Times New Roman" w:hAnsi="Times New Roman" w:eastAsia="方正仿宋简体" w:cs="方正仿宋简体"/>
          <w:color w:val="auto"/>
          <w:sz w:val="32"/>
          <w:u w:val="none"/>
        </w:rPr>
        <w:t>责任。建议由</w:t>
      </w:r>
      <w:r>
        <w:rPr>
          <w:rFonts w:hint="eastAsia" w:ascii="Times New Roman" w:hAnsi="Times New Roman" w:eastAsia="方正仿宋简体" w:cs="方正仿宋简体"/>
          <w:color w:val="auto"/>
          <w:sz w:val="32"/>
          <w:u w:val="none"/>
          <w:lang w:eastAsia="zh-CN"/>
        </w:rPr>
        <w:t>鲤城区</w:t>
      </w:r>
      <w:r>
        <w:rPr>
          <w:rFonts w:hint="eastAsia" w:eastAsia="方正仿宋简体" w:cs="方正仿宋简体"/>
          <w:color w:val="auto"/>
          <w:sz w:val="32"/>
          <w:u w:val="none"/>
          <w:lang w:eastAsia="zh-CN"/>
        </w:rPr>
        <w:t>应急管理局</w:t>
      </w:r>
      <w:r>
        <w:rPr>
          <w:rFonts w:hint="eastAsia" w:ascii="Times New Roman" w:hAnsi="Times New Roman" w:eastAsia="方正仿宋简体" w:cs="方正仿宋简体"/>
          <w:color w:val="auto"/>
          <w:sz w:val="32"/>
          <w:u w:val="none"/>
        </w:rPr>
        <w:t>对泉州百畅物流有限公司依法依规处理。</w:t>
      </w:r>
    </w:p>
    <w:p w14:paraId="0AC0720B">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四</w:t>
      </w:r>
      <w:r>
        <w:rPr>
          <w:rFonts w:hint="eastAsia" w:ascii="方正楷体简体" w:hAnsi="方正楷体简体" w:eastAsia="方正楷体简体" w:cs="方正楷体简体"/>
          <w:b/>
          <w:color w:val="auto"/>
          <w:sz w:val="32"/>
          <w:szCs w:val="32"/>
          <w:u w:val="none"/>
        </w:rPr>
        <w:t>）对有关部门的处理建议</w:t>
      </w:r>
    </w:p>
    <w:p w14:paraId="430FBAE2">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eastAsia="方正仿宋简体" w:cs="方正仿宋简体"/>
          <w:color w:val="auto"/>
          <w:sz w:val="32"/>
          <w:u w:val="none"/>
          <w:lang w:val="en-US" w:eastAsia="zh-CN"/>
        </w:rPr>
      </w:pPr>
      <w:r>
        <w:rPr>
          <w:rFonts w:hint="eastAsia" w:eastAsia="方正仿宋简体" w:cs="方正仿宋简体"/>
          <w:color w:val="auto"/>
          <w:sz w:val="32"/>
          <w:u w:val="none"/>
          <w:lang w:val="en-US" w:eastAsia="zh-CN"/>
        </w:rPr>
        <w:t>1.泉州市公安局交通警察支队鲤城大队对辖区内车辆超速等交通违法行为查纠力度不够，建议由泉州市公安局交通警察支队鲤城大队对有关安全监管方面存在的问题进一步调查处理。</w:t>
      </w:r>
    </w:p>
    <w:p w14:paraId="5107248C">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eastAsia="zh-CN"/>
        </w:rPr>
      </w:pPr>
      <w:r>
        <w:rPr>
          <w:rFonts w:hint="eastAsia" w:ascii="Times New Roman" w:hAnsi="Times New Roman" w:eastAsia="方正仿宋简体" w:cs="方正仿宋简体"/>
          <w:color w:val="auto"/>
          <w:sz w:val="32"/>
          <w:u w:val="none"/>
          <w:lang w:val="en-US" w:eastAsia="zh-CN"/>
        </w:rPr>
        <w:t>2.</w:t>
      </w:r>
      <w:r>
        <w:rPr>
          <w:rFonts w:hint="eastAsia" w:eastAsia="方正仿宋简体" w:cs="方正仿宋简体"/>
          <w:color w:val="auto"/>
          <w:sz w:val="32"/>
          <w:u w:val="none"/>
          <w:lang w:val="en-US" w:eastAsia="zh-CN"/>
        </w:rPr>
        <w:t>泉州市交通运输局</w:t>
      </w:r>
      <w:r>
        <w:rPr>
          <w:rFonts w:hint="eastAsia" w:ascii="Times New Roman" w:hAnsi="Times New Roman" w:eastAsia="方正仿宋简体" w:cs="方正仿宋简体"/>
          <w:color w:val="auto"/>
          <w:sz w:val="32"/>
          <w:u w:val="none"/>
          <w:lang w:val="en-US" w:eastAsia="zh-CN"/>
        </w:rPr>
        <w:t>对辖区道路普通货物运输企业具有实施“行政处罚以及与行政处罚相关的行政检查”的工作职责，未能及时发现并纠正泉州百畅物流有限公司未履行安全生产职责的问题，对该公司安全生产监督管理不到位</w:t>
      </w:r>
      <w:r>
        <w:rPr>
          <w:rFonts w:hint="eastAsia" w:ascii="Times New Roman" w:hAnsi="Times New Roman" w:eastAsia="方正仿宋简体" w:cs="方正仿宋简体"/>
          <w:color w:val="auto"/>
          <w:sz w:val="32"/>
          <w:u w:val="none"/>
        </w:rPr>
        <w:t>，建议泉州市交通运输局进一步</w:t>
      </w:r>
      <w:r>
        <w:rPr>
          <w:rFonts w:hint="eastAsia" w:ascii="Times New Roman" w:hAnsi="Times New Roman" w:eastAsia="方正仿宋简体" w:cs="方正仿宋简体"/>
          <w:color w:val="auto"/>
          <w:sz w:val="32"/>
          <w:u w:val="none"/>
          <w:lang w:eastAsia="zh-CN"/>
        </w:rPr>
        <w:t>加强此类企业和</w:t>
      </w:r>
      <w:r>
        <w:rPr>
          <w:rFonts w:hint="eastAsia" w:ascii="Times New Roman" w:hAnsi="Times New Roman" w:eastAsia="方正仿宋简体" w:cs="方正仿宋简体"/>
          <w:color w:val="auto"/>
          <w:sz w:val="32"/>
          <w:u w:val="none"/>
          <w:lang w:val="en-US" w:eastAsia="zh-CN"/>
        </w:rPr>
        <w:t>4.5吨以下轻型</w:t>
      </w:r>
      <w:r>
        <w:rPr>
          <w:rFonts w:hint="eastAsia" w:eastAsia="方正仿宋简体" w:cs="方正仿宋简体"/>
          <w:color w:val="auto"/>
          <w:sz w:val="32"/>
          <w:u w:val="none"/>
          <w:lang w:val="en-US" w:eastAsia="zh-CN"/>
        </w:rPr>
        <w:t>厢式</w:t>
      </w:r>
      <w:r>
        <w:rPr>
          <w:rFonts w:hint="eastAsia" w:ascii="Times New Roman" w:hAnsi="Times New Roman" w:eastAsia="方正仿宋简体" w:cs="方正仿宋简体"/>
          <w:color w:val="auto"/>
          <w:sz w:val="32"/>
          <w:u w:val="none"/>
          <w:lang w:val="en-US" w:eastAsia="zh-CN"/>
        </w:rPr>
        <w:t>货车的安全监管</w:t>
      </w:r>
      <w:r>
        <w:rPr>
          <w:rFonts w:hint="eastAsia" w:eastAsia="方正仿宋简体" w:cs="方正仿宋简体"/>
          <w:color w:val="auto"/>
          <w:sz w:val="32"/>
          <w:u w:val="none"/>
          <w:lang w:eastAsia="zh-CN"/>
        </w:rPr>
        <w:t>，</w:t>
      </w:r>
      <w:r>
        <w:rPr>
          <w:rFonts w:hint="eastAsia" w:ascii="Times New Roman" w:hAnsi="Times New Roman" w:eastAsia="方正仿宋简体" w:cs="方正仿宋简体"/>
          <w:color w:val="auto"/>
          <w:sz w:val="32"/>
          <w:u w:val="none"/>
          <w:lang w:eastAsia="zh-CN"/>
        </w:rPr>
        <w:t>同时对安全监管方面存在的问题进一步调查处理。</w:t>
      </w:r>
    </w:p>
    <w:p w14:paraId="108D22B3">
      <w:pPr>
        <w:keepNext w:val="0"/>
        <w:keepLines w:val="0"/>
        <w:pageBreakBefore w:val="0"/>
        <w:widowControl w:val="0"/>
        <w:kinsoku/>
        <w:wordWrap w:val="0"/>
        <w:topLinePunct w:val="0"/>
        <w:bidi w:val="0"/>
        <w:adjustRightInd/>
        <w:snapToGrid/>
        <w:spacing w:line="570" w:lineRule="exact"/>
        <w:ind w:firstLine="643" w:firstLineChars="200"/>
        <w:textAlignment w:val="auto"/>
        <w:rPr>
          <w:rFonts w:hint="eastAsia" w:ascii="方正楷体简体" w:hAnsi="方正楷体简体" w:eastAsia="方正楷体简体" w:cs="方正楷体简体"/>
          <w:b/>
          <w:color w:val="auto"/>
          <w:sz w:val="32"/>
          <w:szCs w:val="32"/>
          <w:u w:val="none"/>
        </w:rPr>
      </w:pPr>
      <w:r>
        <w:rPr>
          <w:rFonts w:hint="eastAsia" w:ascii="方正楷体简体" w:hAnsi="方正楷体简体" w:eastAsia="方正楷体简体" w:cs="方正楷体简体"/>
          <w:b/>
          <w:color w:val="auto"/>
          <w:sz w:val="32"/>
          <w:szCs w:val="32"/>
          <w:u w:val="none"/>
        </w:rPr>
        <w:t>（</w:t>
      </w:r>
      <w:r>
        <w:rPr>
          <w:rFonts w:hint="eastAsia" w:ascii="方正楷体简体" w:hAnsi="方正楷体简体" w:eastAsia="方正楷体简体" w:cs="方正楷体简体"/>
          <w:b/>
          <w:color w:val="auto"/>
          <w:sz w:val="32"/>
          <w:szCs w:val="32"/>
          <w:u w:val="none"/>
          <w:lang w:eastAsia="zh-CN"/>
        </w:rPr>
        <w:t>五</w:t>
      </w:r>
      <w:r>
        <w:rPr>
          <w:rFonts w:hint="eastAsia" w:ascii="方正楷体简体" w:hAnsi="方正楷体简体" w:eastAsia="方正楷体简体" w:cs="方正楷体简体"/>
          <w:b/>
          <w:color w:val="auto"/>
          <w:sz w:val="32"/>
          <w:szCs w:val="32"/>
          <w:u w:val="none"/>
        </w:rPr>
        <w:t>）其他处理建议</w:t>
      </w:r>
    </w:p>
    <w:p w14:paraId="38B24A98">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val="en-US" w:eastAsia="zh-CN"/>
        </w:rPr>
      </w:pPr>
      <w:r>
        <w:rPr>
          <w:rFonts w:hint="eastAsia" w:eastAsia="方正仿宋简体" w:cs="方正仿宋简体"/>
          <w:color w:val="auto"/>
          <w:sz w:val="32"/>
          <w:u w:val="none"/>
          <w:lang w:val="en-US" w:eastAsia="zh-CN"/>
        </w:rPr>
        <w:t>1.</w:t>
      </w:r>
      <w:r>
        <w:rPr>
          <w:rFonts w:hint="eastAsia" w:ascii="Times New Roman" w:hAnsi="Times New Roman" w:eastAsia="方正仿宋简体" w:cs="方正仿宋简体"/>
          <w:color w:val="auto"/>
          <w:sz w:val="32"/>
          <w:u w:val="none"/>
          <w:lang w:val="en-US" w:eastAsia="zh-CN"/>
        </w:rPr>
        <w:t>厦门甬道星源供应链有限公司对车辆隐患排查治理工作还存在不到位的情况，建议由</w:t>
      </w:r>
      <w:r>
        <w:rPr>
          <w:rFonts w:hint="eastAsia" w:eastAsia="方正仿宋简体" w:cs="方正仿宋简体"/>
          <w:color w:val="auto"/>
          <w:sz w:val="32"/>
          <w:u w:val="none"/>
          <w:lang w:val="en-US" w:eastAsia="zh-CN"/>
        </w:rPr>
        <w:t>厦门市</w:t>
      </w:r>
      <w:r>
        <w:rPr>
          <w:rFonts w:hint="eastAsia" w:ascii="Times New Roman" w:hAnsi="Times New Roman" w:eastAsia="方正仿宋简体" w:cs="方正仿宋简体"/>
          <w:color w:val="auto"/>
          <w:sz w:val="32"/>
          <w:u w:val="none"/>
          <w:lang w:val="en-US" w:eastAsia="zh-CN"/>
        </w:rPr>
        <w:t>交通运输局对其进一步调查处理。</w:t>
      </w:r>
    </w:p>
    <w:p w14:paraId="4D057FD6">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eastAsia" w:ascii="Times New Roman" w:hAnsi="Times New Roman" w:eastAsia="方正仿宋简体" w:cs="方正仿宋简体"/>
          <w:color w:val="auto"/>
          <w:sz w:val="32"/>
          <w:u w:val="none"/>
          <w:lang w:val="en-US" w:eastAsia="zh-CN"/>
        </w:rPr>
      </w:pPr>
      <w:r>
        <w:rPr>
          <w:rFonts w:hint="eastAsia" w:eastAsia="方正仿宋简体" w:cs="方正仿宋简体"/>
          <w:color w:val="auto"/>
          <w:sz w:val="32"/>
          <w:u w:val="none"/>
          <w:lang w:val="en-US" w:eastAsia="zh-CN"/>
        </w:rPr>
        <w:t>2</w:t>
      </w:r>
      <w:r>
        <w:rPr>
          <w:rFonts w:hint="eastAsia" w:ascii="Times New Roman" w:hAnsi="Times New Roman" w:eastAsia="方正仿宋简体" w:cs="方正仿宋简体"/>
          <w:color w:val="auto"/>
          <w:sz w:val="32"/>
          <w:u w:val="none"/>
          <w:lang w:val="en-US" w:eastAsia="zh-CN"/>
        </w:rPr>
        <w:t>.福建金航物流有限公司对车辆隐患排查治理工作还存在不到位的情况，建议由</w:t>
      </w:r>
      <w:r>
        <w:rPr>
          <w:rFonts w:hint="eastAsia" w:eastAsia="方正仿宋简体" w:cs="方正仿宋简体"/>
          <w:color w:val="auto"/>
          <w:sz w:val="32"/>
          <w:u w:val="none"/>
          <w:lang w:val="en-US" w:eastAsia="zh-CN"/>
        </w:rPr>
        <w:t>石狮市</w:t>
      </w:r>
      <w:r>
        <w:rPr>
          <w:rFonts w:hint="eastAsia" w:ascii="Times New Roman" w:hAnsi="Times New Roman" w:eastAsia="方正仿宋简体" w:cs="方正仿宋简体"/>
          <w:color w:val="auto"/>
          <w:sz w:val="32"/>
          <w:u w:val="none"/>
          <w:lang w:val="en-US" w:eastAsia="zh-CN"/>
        </w:rPr>
        <w:t>交通运输局对其进一步调查处理。</w:t>
      </w:r>
    </w:p>
    <w:p w14:paraId="0F025A29">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0" w:firstLineChars="200"/>
        <w:textAlignment w:val="auto"/>
        <w:rPr>
          <w:rFonts w:hint="default" w:ascii="Times New Roman" w:hAnsi="Times New Roman" w:eastAsia="方正仿宋简体" w:cs="方正仿宋简体"/>
          <w:color w:val="auto"/>
          <w:sz w:val="32"/>
          <w:u w:val="none"/>
          <w:lang w:val="en-US" w:eastAsia="zh-CN"/>
        </w:rPr>
      </w:pPr>
      <w:r>
        <w:rPr>
          <w:rFonts w:hint="eastAsia" w:eastAsia="方正仿宋简体" w:cs="方正仿宋简体"/>
          <w:color w:val="auto"/>
          <w:sz w:val="32"/>
          <w:u w:val="none"/>
          <w:lang w:val="en-US" w:eastAsia="zh-CN"/>
        </w:rPr>
        <w:t>3</w:t>
      </w:r>
      <w:r>
        <w:rPr>
          <w:rFonts w:hint="eastAsia" w:ascii="Times New Roman" w:hAnsi="Times New Roman" w:eastAsia="方正仿宋简体" w:cs="方正仿宋简体"/>
          <w:color w:val="auto"/>
          <w:sz w:val="32"/>
          <w:u w:val="none"/>
          <w:lang w:val="en-US" w:eastAsia="zh-CN"/>
        </w:rPr>
        <w:t>.泉州市鑫年供应链管理有限公司存在安全教育培训材料整理不规范、隐患排查记录不完整的情况，建议由</w:t>
      </w:r>
      <w:r>
        <w:rPr>
          <w:rFonts w:hint="eastAsia" w:eastAsia="方正仿宋简体" w:cs="方正仿宋简体"/>
          <w:color w:val="auto"/>
          <w:sz w:val="32"/>
          <w:u w:val="none"/>
          <w:lang w:val="en-US" w:eastAsia="zh-CN"/>
        </w:rPr>
        <w:t>晋江市交通运输局</w:t>
      </w:r>
      <w:r>
        <w:rPr>
          <w:rFonts w:hint="eastAsia" w:ascii="Times New Roman" w:hAnsi="Times New Roman" w:eastAsia="方正仿宋简体" w:cs="方正仿宋简体"/>
          <w:color w:val="auto"/>
          <w:sz w:val="32"/>
          <w:u w:val="none"/>
          <w:lang w:val="en-US" w:eastAsia="zh-CN"/>
        </w:rPr>
        <w:t>对其进一步调查处理。</w:t>
      </w:r>
    </w:p>
    <w:p w14:paraId="55AEBB91">
      <w:pPr>
        <w:keepNext w:val="0"/>
        <w:keepLines w:val="0"/>
        <w:pageBreakBefore w:val="0"/>
        <w:widowControl w:val="0"/>
        <w:kinsoku/>
        <w:wordWrap w:val="0"/>
        <w:topLinePunct w:val="0"/>
        <w:bidi w:val="0"/>
        <w:adjustRightInd/>
        <w:snapToGrid/>
        <w:spacing w:line="57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六、事故整改和防范措施</w:t>
      </w:r>
    </w:p>
    <w:p w14:paraId="34CD99D8">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3" w:firstLineChars="200"/>
        <w:textAlignment w:val="auto"/>
        <w:rPr>
          <w:rFonts w:hint="eastAsia" w:ascii="Times New Roman" w:hAnsi="Times New Roman" w:eastAsia="方正仿宋简体" w:cs="方正仿宋简体"/>
          <w:color w:val="auto"/>
          <w:sz w:val="32"/>
          <w:u w:val="none"/>
        </w:rPr>
      </w:pPr>
      <w:r>
        <w:rPr>
          <w:rFonts w:hint="eastAsia" w:ascii="方正楷体简体" w:hAnsi="方正楷体简体" w:eastAsia="方正楷体简体" w:cs="方正楷体简体"/>
          <w:b/>
          <w:color w:val="auto"/>
          <w:sz w:val="32"/>
          <w:szCs w:val="32"/>
          <w:u w:val="none"/>
        </w:rPr>
        <w:t>（一）落实企业安全生产主体责任。</w:t>
      </w:r>
      <w:r>
        <w:rPr>
          <w:rFonts w:hint="eastAsia" w:ascii="Times New Roman" w:hAnsi="Times New Roman" w:eastAsia="方正仿宋简体" w:cs="方正仿宋简体"/>
          <w:color w:val="auto"/>
          <w:sz w:val="32"/>
          <w:u w:val="none"/>
        </w:rPr>
        <w:t>泉州百畅物流有限公司要严格落实企业安全生产主体责任，加强安全生产管理工作：</w:t>
      </w:r>
      <w:r>
        <w:rPr>
          <w:rFonts w:hint="eastAsia" w:ascii="Times New Roman" w:hAnsi="Times New Roman" w:eastAsia="方正仿宋简体" w:cs="方正仿宋简体"/>
          <w:color w:val="auto"/>
          <w:sz w:val="32"/>
          <w:u w:val="none"/>
          <w:lang w:eastAsia="zh-CN"/>
        </w:rPr>
        <w:t>一</w:t>
      </w:r>
      <w:r>
        <w:rPr>
          <w:rFonts w:hint="eastAsia" w:ascii="Times New Roman" w:hAnsi="Times New Roman" w:eastAsia="方正仿宋简体" w:cs="方正仿宋简体"/>
          <w:color w:val="auto"/>
          <w:sz w:val="32"/>
          <w:u w:val="none"/>
        </w:rPr>
        <w:t>要落实安全例会、安全教育培训、车辆管理、驾驶员管理等安全生产管理制度，加强对车辆及其驾驶员的管理，尤其要加强对货运车辆驾驶员的安全生产教育和培训，及时建立驾驶员的安全生产教育和培训档案，对驾驶员开展规范性安全培训教育。</w:t>
      </w:r>
      <w:r>
        <w:rPr>
          <w:rFonts w:hint="eastAsia" w:ascii="Times New Roman" w:hAnsi="Times New Roman" w:eastAsia="方正仿宋简体" w:cs="方正仿宋简体"/>
          <w:color w:val="auto"/>
          <w:sz w:val="32"/>
          <w:u w:val="none"/>
          <w:lang w:eastAsia="zh-CN"/>
        </w:rPr>
        <w:t>二</w:t>
      </w:r>
      <w:r>
        <w:rPr>
          <w:rFonts w:hint="eastAsia" w:ascii="Times New Roman" w:hAnsi="Times New Roman" w:eastAsia="方正仿宋简体" w:cs="方正仿宋简体"/>
          <w:color w:val="auto"/>
          <w:sz w:val="32"/>
          <w:u w:val="none"/>
        </w:rPr>
        <w:t>要建立健全安全风险分级管控和事故隐患排查治理双重预防机制，开展风险辨识评估，加强安全管控，严防漏管失控酿成事故。要落实常态化、制度化事故隐患排查机制，对排查出的事故隐患，严格按照“五落实”进行整改，实现闭环管理、动态清零。</w:t>
      </w:r>
    </w:p>
    <w:p w14:paraId="021F2A19">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3" w:firstLineChars="200"/>
        <w:textAlignment w:val="auto"/>
        <w:rPr>
          <w:rFonts w:hint="eastAsia" w:ascii="Times New Roman" w:hAnsi="Times New Roman" w:eastAsia="方正仿宋简体" w:cs="方正仿宋简体"/>
          <w:color w:val="auto"/>
          <w:sz w:val="32"/>
          <w:u w:val="none"/>
        </w:rPr>
      </w:pPr>
      <w:r>
        <w:rPr>
          <w:rFonts w:hint="eastAsia" w:ascii="方正楷体简体" w:hAnsi="方正楷体简体" w:eastAsia="方正楷体简体" w:cs="方正楷体简体"/>
          <w:b/>
          <w:color w:val="auto"/>
          <w:sz w:val="32"/>
          <w:szCs w:val="32"/>
          <w:u w:val="none"/>
        </w:rPr>
        <w:t>（二）加强企业安全生产监督。</w:t>
      </w:r>
      <w:r>
        <w:rPr>
          <w:rFonts w:hint="eastAsia" w:eastAsia="方正仿宋简体" w:cs="方正仿宋简体"/>
          <w:color w:val="auto"/>
          <w:sz w:val="32"/>
          <w:u w:val="none"/>
          <w:lang w:val="en-US" w:eastAsia="zh-CN"/>
        </w:rPr>
        <w:t>交通运输管理部门</w:t>
      </w:r>
      <w:r>
        <w:rPr>
          <w:rFonts w:hint="eastAsia" w:ascii="Times New Roman" w:hAnsi="Times New Roman" w:eastAsia="方正仿宋简体" w:cs="方正仿宋简体"/>
          <w:color w:val="auto"/>
          <w:sz w:val="32"/>
          <w:u w:val="none"/>
          <w:lang w:val="en-US" w:eastAsia="zh-CN"/>
        </w:rPr>
        <w:t>要</w:t>
      </w:r>
      <w:r>
        <w:rPr>
          <w:rFonts w:hint="eastAsia" w:ascii="Times New Roman" w:hAnsi="Times New Roman" w:eastAsia="方正仿宋简体" w:cs="方正仿宋简体"/>
          <w:color w:val="auto"/>
          <w:sz w:val="32"/>
          <w:u w:val="none"/>
        </w:rPr>
        <w:t>进一步加强对辖区货运企业的监督管理，督促货运企业切实履行企业安全生产主体责任，建立健全安全生产规章制度，加强车辆技术管理和人员安全教育培训，督促企业排查运输生产每个环节中存在的安全隐患，及时落实整改，防范道路运输事故发生。</w:t>
      </w:r>
    </w:p>
    <w:p w14:paraId="25643359">
      <w:pPr>
        <w:keepNext w:val="0"/>
        <w:keepLines w:val="0"/>
        <w:pageBreakBefore w:val="0"/>
        <w:widowControl w:val="0"/>
        <w:suppressAutoHyphens/>
        <w:kinsoku/>
        <w:wordWrap w:val="0"/>
        <w:overflowPunct w:val="0"/>
        <w:topLinePunct w:val="0"/>
        <w:autoSpaceDE w:val="0"/>
        <w:autoSpaceDN w:val="0"/>
        <w:bidi w:val="0"/>
        <w:adjustRightInd/>
        <w:snapToGrid/>
        <w:spacing w:line="570" w:lineRule="exact"/>
        <w:ind w:firstLine="643" w:firstLineChars="200"/>
        <w:textAlignment w:val="auto"/>
        <w:rPr>
          <w:rFonts w:hint="eastAsia" w:ascii="Times New Roman" w:hAnsi="Times New Roman" w:eastAsia="方正仿宋简体" w:cs="方正仿宋简体"/>
          <w:color w:val="auto"/>
          <w:sz w:val="32"/>
          <w:u w:val="none"/>
        </w:rPr>
      </w:pPr>
      <w:r>
        <w:rPr>
          <w:rFonts w:hint="eastAsia" w:ascii="方正楷体简体" w:hAnsi="方正楷体简体" w:eastAsia="方正楷体简体" w:cs="方正楷体简体"/>
          <w:b/>
          <w:color w:val="auto"/>
          <w:sz w:val="32"/>
          <w:szCs w:val="32"/>
          <w:u w:val="none"/>
        </w:rPr>
        <w:t>（三）加强道路</w:t>
      </w:r>
      <w:r>
        <w:rPr>
          <w:rFonts w:hint="eastAsia" w:ascii="方正楷体简体" w:hAnsi="方正楷体简体" w:eastAsia="方正楷体简体" w:cs="方正楷体简体"/>
          <w:b/>
          <w:color w:val="auto"/>
          <w:sz w:val="32"/>
          <w:szCs w:val="32"/>
          <w:u w:val="none"/>
          <w:lang w:eastAsia="zh-CN"/>
        </w:rPr>
        <w:t>交通</w:t>
      </w:r>
      <w:r>
        <w:rPr>
          <w:rFonts w:hint="eastAsia" w:ascii="方正楷体简体" w:hAnsi="方正楷体简体" w:eastAsia="方正楷体简体" w:cs="方正楷体简体"/>
          <w:b/>
          <w:color w:val="auto"/>
          <w:sz w:val="32"/>
          <w:szCs w:val="32"/>
          <w:u w:val="none"/>
        </w:rPr>
        <w:t>执法力度。</w:t>
      </w:r>
      <w:r>
        <w:rPr>
          <w:rFonts w:hint="eastAsia" w:ascii="Times New Roman" w:hAnsi="Times New Roman" w:eastAsia="方正仿宋简体" w:cs="方正仿宋简体"/>
          <w:color w:val="auto"/>
          <w:sz w:val="32"/>
          <w:u w:val="none"/>
          <w:lang w:val="en-US" w:eastAsia="zh-CN"/>
        </w:rPr>
        <w:t>泉州市公安局交通警察支队鲤城大队</w:t>
      </w:r>
      <w:r>
        <w:rPr>
          <w:rFonts w:hint="eastAsia" w:ascii="Times New Roman" w:hAnsi="Times New Roman" w:eastAsia="方正仿宋简体" w:cs="方正仿宋简体"/>
          <w:color w:val="auto"/>
          <w:sz w:val="32"/>
          <w:u w:val="none"/>
        </w:rPr>
        <w:t>要加强路面巡查和执法管控力度，认真检查货运车辆驾驶人驾驶资格、车辆乘载人数、货物装载等情况，采取定点管控和不定点巡逻相结合的方式，严查货运车辆“三超一疲劳”等交通违法行为，发现一起、查处一起，形成严管严处整治态势。同时，深入辖区客运、货运企业进行宣传，约谈风险企业，并张贴交通安全宣传标语，提升交通参与者的安全文明意识。</w:t>
      </w:r>
    </w:p>
    <w:p w14:paraId="37A41ADF">
      <w:pPr>
        <w:keepNext w:val="0"/>
        <w:keepLines w:val="0"/>
        <w:pageBreakBefore w:val="0"/>
        <w:widowControl w:val="0"/>
        <w:kinsoku/>
        <w:wordWrap w:val="0"/>
        <w:topLinePunct w:val="0"/>
        <w:bidi w:val="0"/>
        <w:adjustRightInd/>
        <w:snapToGrid/>
        <w:spacing w:line="570" w:lineRule="exact"/>
        <w:ind w:firstLine="640"/>
        <w:textAlignment w:val="auto"/>
        <w:rPr>
          <w:rFonts w:hint="eastAsia" w:ascii="Times New Roman" w:hAnsi="Times New Roman" w:eastAsia="方正仿宋简体" w:cs="方正仿宋简体"/>
          <w:sz w:val="32"/>
          <w:szCs w:val="32"/>
        </w:rPr>
      </w:pPr>
    </w:p>
    <w:p w14:paraId="32EE8409">
      <w:pPr>
        <w:keepNext w:val="0"/>
        <w:keepLines w:val="0"/>
        <w:pageBreakBefore w:val="0"/>
        <w:widowControl w:val="0"/>
        <w:kinsoku/>
        <w:wordWrap w:val="0"/>
        <w:overflowPunct w:val="0"/>
        <w:topLinePunct w:val="0"/>
        <w:autoSpaceDE w:val="0"/>
        <w:autoSpaceDN w:val="0"/>
        <w:bidi w:val="0"/>
        <w:adjustRightInd/>
        <w:snapToGrid/>
        <w:spacing w:line="570" w:lineRule="exact"/>
        <w:ind w:left="1598" w:leftChars="304" w:hanging="960" w:hangingChars="300"/>
        <w:textAlignment w:val="auto"/>
        <w:rPr>
          <w:rFonts w:hint="eastAsia" w:ascii="Times New Roman" w:hAnsi="Times New Roman" w:eastAsia="方正仿宋简体" w:cs="方正仿宋简体"/>
          <w:sz w:val="32"/>
          <w:szCs w:val="32"/>
          <w:lang w:eastAsia="zh-CN"/>
        </w:rPr>
      </w:pPr>
      <w:r>
        <w:rPr>
          <w:rFonts w:hint="eastAsia" w:ascii="Times New Roman" w:hAnsi="Times New Roman" w:eastAsia="方正仿宋简体" w:cs="方正仿宋简体"/>
          <w:sz w:val="32"/>
          <w:szCs w:val="32"/>
        </w:rPr>
        <w:t>附件：</w:t>
      </w:r>
      <w:r>
        <w:rPr>
          <w:rFonts w:hint="eastAsia" w:ascii="Times New Roman" w:hAnsi="Times New Roman" w:eastAsia="方正仿宋简体" w:cs="方正仿宋简体"/>
          <w:sz w:val="32"/>
          <w:szCs w:val="32"/>
          <w:lang w:val="en-US" w:eastAsia="zh-CN"/>
        </w:rPr>
        <w:t>1.</w:t>
      </w:r>
      <w:r>
        <w:rPr>
          <w:rFonts w:hint="eastAsia" w:ascii="Times New Roman" w:hAnsi="Times New Roman" w:eastAsia="方正仿宋简体" w:cs="方正仿宋简体"/>
          <w:sz w:val="32"/>
          <w:szCs w:val="32"/>
        </w:rPr>
        <w:t>鲤城浮桥“4·5”一般道路交通事故调查组签</w:t>
      </w:r>
      <w:r>
        <w:rPr>
          <w:rFonts w:hint="eastAsia" w:eastAsia="方正仿宋简体" w:cs="方正仿宋简体"/>
          <w:sz w:val="32"/>
          <w:szCs w:val="32"/>
          <w:lang w:eastAsia="zh-CN"/>
        </w:rPr>
        <w:t>名</w:t>
      </w:r>
      <w:r>
        <w:rPr>
          <w:rFonts w:hint="eastAsia" w:ascii="Times New Roman" w:hAnsi="Times New Roman" w:eastAsia="方正仿宋简体" w:cs="方正仿宋简体"/>
          <w:sz w:val="32"/>
          <w:szCs w:val="32"/>
        </w:rPr>
        <w:t>表</w:t>
      </w:r>
    </w:p>
    <w:p w14:paraId="26E6C02E">
      <w:pPr>
        <w:keepNext w:val="0"/>
        <w:keepLines w:val="0"/>
        <w:pageBreakBefore w:val="0"/>
        <w:widowControl w:val="0"/>
        <w:kinsoku/>
        <w:wordWrap w:val="0"/>
        <w:overflowPunct w:val="0"/>
        <w:topLinePunct w:val="0"/>
        <w:autoSpaceDE w:val="0"/>
        <w:autoSpaceDN w:val="0"/>
        <w:bidi w:val="0"/>
        <w:adjustRightInd/>
        <w:snapToGrid/>
        <w:spacing w:line="570" w:lineRule="exact"/>
        <w:ind w:left="1596" w:leftChars="760" w:firstLine="0" w:firstLineChars="0"/>
        <w:textAlignment w:val="auto"/>
        <w:rPr>
          <w:rFonts w:hint="eastAsia" w:ascii="Times New Roman" w:hAnsi="Times New Roman" w:eastAsia="方正仿宋简体" w:cs="方正仿宋简体"/>
          <w:sz w:val="32"/>
          <w:szCs w:val="32"/>
          <w:lang w:eastAsia="zh-CN"/>
        </w:rPr>
      </w:pPr>
      <w:r>
        <w:rPr>
          <w:rFonts w:hint="eastAsia" w:ascii="Times New Roman" w:hAnsi="Times New Roman" w:eastAsia="方正仿宋简体" w:cs="方正仿宋简体"/>
          <w:sz w:val="32"/>
          <w:szCs w:val="32"/>
          <w:lang w:val="en-US" w:eastAsia="zh-CN"/>
        </w:rPr>
        <w:t>2.</w:t>
      </w:r>
      <w:r>
        <w:rPr>
          <w:rFonts w:hint="eastAsia" w:ascii="Times New Roman" w:hAnsi="Times New Roman" w:eastAsia="方正仿宋简体" w:cs="方正仿宋简体"/>
          <w:sz w:val="32"/>
          <w:szCs w:val="32"/>
        </w:rPr>
        <w:t>鲤城浮桥“4·5”一般道路交通事故</w:t>
      </w:r>
      <w:r>
        <w:rPr>
          <w:rFonts w:hint="eastAsia" w:ascii="Times New Roman" w:hAnsi="Times New Roman" w:eastAsia="方正仿宋简体" w:cs="方正仿宋简体"/>
          <w:sz w:val="32"/>
          <w:szCs w:val="32"/>
          <w:lang w:eastAsia="zh-CN"/>
        </w:rPr>
        <w:t>认定书</w:t>
      </w:r>
    </w:p>
    <w:p w14:paraId="3DAD768C">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29561984">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2D03D23D">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22C4DB0D">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6308B9E6">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2BFBD127">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4BF00BEE">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58E4F3E4">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710B2915">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0ADB3608">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65852284">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6BE1AA5D">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6B262A55">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7B462E94">
      <w:pPr>
        <w:keepNext w:val="0"/>
        <w:keepLines w:val="0"/>
        <w:pageBreakBefore w:val="0"/>
        <w:kinsoku/>
        <w:wordWrap w:val="0"/>
        <w:topLinePunct w:val="0"/>
        <w:bidi w:val="0"/>
        <w:adjustRightInd/>
        <w:snapToGrid/>
        <w:spacing w:line="590" w:lineRule="exact"/>
        <w:textAlignment w:val="auto"/>
        <w:rPr>
          <w:rFonts w:hint="eastAsia"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1</w:t>
      </w:r>
    </w:p>
    <w:p w14:paraId="555B0B08">
      <w:pPr>
        <w:keepNext w:val="0"/>
        <w:keepLines w:val="0"/>
        <w:pageBreakBefore w:val="0"/>
        <w:kinsoku/>
        <w:wordWrap w:val="0"/>
        <w:topLinePunct w:val="0"/>
        <w:bidi w:val="0"/>
        <w:adjustRightInd/>
        <w:snapToGrid/>
        <w:textAlignment w:val="auto"/>
        <w:rPr>
          <w:color w:val="auto"/>
        </w:r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25400</wp:posOffset>
            </wp:positionV>
            <wp:extent cx="5541645" cy="7621905"/>
            <wp:effectExtent l="0" t="0" r="1905" b="17145"/>
            <wp:wrapNone/>
            <wp:docPr id="8" name="图片 8" descr="鲤城浮桥“4·5”一般道路交通事故调查组签名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鲤城浮桥“4·5”一般道路交通事故调查组签名表"/>
                    <pic:cNvPicPr>
                      <a:picLocks noChangeAspect="1"/>
                    </pic:cNvPicPr>
                  </pic:nvPicPr>
                  <pic:blipFill>
                    <a:blip r:embed="rId10"/>
                    <a:stretch>
                      <a:fillRect/>
                    </a:stretch>
                  </pic:blipFill>
                  <pic:spPr>
                    <a:xfrm>
                      <a:off x="0" y="0"/>
                      <a:ext cx="5541645" cy="7621905"/>
                    </a:xfrm>
                    <a:prstGeom prst="rect">
                      <a:avLst/>
                    </a:prstGeom>
                  </pic:spPr>
                </pic:pic>
              </a:graphicData>
            </a:graphic>
          </wp:anchor>
        </w:drawing>
      </w:r>
    </w:p>
    <w:p w14:paraId="5021B2A9">
      <w:pPr>
        <w:keepNext w:val="0"/>
        <w:keepLines w:val="0"/>
        <w:pageBreakBefore w:val="0"/>
        <w:kinsoku/>
        <w:wordWrap w:val="0"/>
        <w:topLinePunct w:val="0"/>
        <w:bidi w:val="0"/>
        <w:adjustRightInd/>
        <w:snapToGrid/>
        <w:textAlignment w:val="auto"/>
        <w:rPr>
          <w:color w:val="auto"/>
        </w:rPr>
      </w:pPr>
    </w:p>
    <w:p w14:paraId="39C843EF">
      <w:pPr>
        <w:keepNext w:val="0"/>
        <w:keepLines w:val="0"/>
        <w:pageBreakBefore w:val="0"/>
        <w:kinsoku/>
        <w:wordWrap w:val="0"/>
        <w:topLinePunct w:val="0"/>
        <w:bidi w:val="0"/>
        <w:adjustRightInd/>
        <w:snapToGrid/>
        <w:textAlignment w:val="auto"/>
        <w:rPr>
          <w:color w:val="auto"/>
        </w:rPr>
      </w:pPr>
    </w:p>
    <w:p w14:paraId="36F4DEFC">
      <w:pPr>
        <w:keepNext w:val="0"/>
        <w:keepLines w:val="0"/>
        <w:pageBreakBefore w:val="0"/>
        <w:kinsoku/>
        <w:wordWrap w:val="0"/>
        <w:topLinePunct w:val="0"/>
        <w:bidi w:val="0"/>
        <w:adjustRightInd/>
        <w:snapToGrid/>
        <w:textAlignment w:val="auto"/>
        <w:rPr>
          <w:color w:val="auto"/>
        </w:rPr>
      </w:pPr>
    </w:p>
    <w:p w14:paraId="3528167B">
      <w:pPr>
        <w:keepNext w:val="0"/>
        <w:keepLines w:val="0"/>
        <w:pageBreakBefore w:val="0"/>
        <w:kinsoku/>
        <w:wordWrap w:val="0"/>
        <w:topLinePunct w:val="0"/>
        <w:bidi w:val="0"/>
        <w:adjustRightInd/>
        <w:snapToGrid/>
        <w:textAlignment w:val="auto"/>
        <w:rPr>
          <w:color w:val="auto"/>
        </w:rPr>
      </w:pPr>
    </w:p>
    <w:p w14:paraId="65ECC333">
      <w:pPr>
        <w:keepNext w:val="0"/>
        <w:keepLines w:val="0"/>
        <w:pageBreakBefore w:val="0"/>
        <w:kinsoku/>
        <w:wordWrap w:val="0"/>
        <w:topLinePunct w:val="0"/>
        <w:bidi w:val="0"/>
        <w:adjustRightInd/>
        <w:snapToGrid/>
        <w:textAlignment w:val="auto"/>
        <w:rPr>
          <w:color w:val="auto"/>
        </w:rPr>
      </w:pPr>
    </w:p>
    <w:p w14:paraId="60DECA20">
      <w:pPr>
        <w:keepNext w:val="0"/>
        <w:keepLines w:val="0"/>
        <w:pageBreakBefore w:val="0"/>
        <w:kinsoku/>
        <w:wordWrap w:val="0"/>
        <w:topLinePunct w:val="0"/>
        <w:bidi w:val="0"/>
        <w:adjustRightInd/>
        <w:snapToGrid/>
        <w:textAlignment w:val="auto"/>
        <w:rPr>
          <w:color w:val="auto"/>
        </w:rPr>
      </w:pPr>
    </w:p>
    <w:p w14:paraId="49F3F573">
      <w:pPr>
        <w:keepNext w:val="0"/>
        <w:keepLines w:val="0"/>
        <w:pageBreakBefore w:val="0"/>
        <w:kinsoku/>
        <w:wordWrap w:val="0"/>
        <w:topLinePunct w:val="0"/>
        <w:bidi w:val="0"/>
        <w:adjustRightInd/>
        <w:snapToGrid/>
        <w:textAlignment w:val="auto"/>
        <w:rPr>
          <w:color w:val="auto"/>
        </w:rPr>
      </w:pPr>
    </w:p>
    <w:p w14:paraId="652E9416">
      <w:pPr>
        <w:keepNext w:val="0"/>
        <w:keepLines w:val="0"/>
        <w:pageBreakBefore w:val="0"/>
        <w:kinsoku/>
        <w:wordWrap w:val="0"/>
        <w:topLinePunct w:val="0"/>
        <w:bidi w:val="0"/>
        <w:adjustRightInd/>
        <w:snapToGrid/>
        <w:textAlignment w:val="auto"/>
        <w:rPr>
          <w:color w:val="auto"/>
        </w:rPr>
      </w:pPr>
    </w:p>
    <w:p w14:paraId="019856E8">
      <w:pPr>
        <w:keepNext w:val="0"/>
        <w:keepLines w:val="0"/>
        <w:pageBreakBefore w:val="0"/>
        <w:kinsoku/>
        <w:wordWrap w:val="0"/>
        <w:topLinePunct w:val="0"/>
        <w:bidi w:val="0"/>
        <w:adjustRightInd/>
        <w:snapToGrid/>
        <w:textAlignment w:val="auto"/>
        <w:rPr>
          <w:color w:val="auto"/>
        </w:rPr>
      </w:pPr>
    </w:p>
    <w:p w14:paraId="08A7CD97">
      <w:pPr>
        <w:keepNext w:val="0"/>
        <w:keepLines w:val="0"/>
        <w:pageBreakBefore w:val="0"/>
        <w:kinsoku/>
        <w:wordWrap w:val="0"/>
        <w:topLinePunct w:val="0"/>
        <w:bidi w:val="0"/>
        <w:adjustRightInd/>
        <w:snapToGrid/>
        <w:textAlignment w:val="auto"/>
        <w:rPr>
          <w:rFonts w:hint="eastAsia" w:eastAsia="宋体"/>
          <w:color w:val="auto"/>
          <w:lang w:eastAsia="zh-CN"/>
        </w:rPr>
      </w:pPr>
    </w:p>
    <w:p w14:paraId="32969FC2">
      <w:pPr>
        <w:keepNext w:val="0"/>
        <w:keepLines w:val="0"/>
        <w:pageBreakBefore w:val="0"/>
        <w:kinsoku/>
        <w:wordWrap w:val="0"/>
        <w:topLinePunct w:val="0"/>
        <w:bidi w:val="0"/>
        <w:adjustRightInd/>
        <w:snapToGrid/>
        <w:textAlignment w:val="auto"/>
        <w:rPr>
          <w:color w:val="auto"/>
        </w:rPr>
      </w:pPr>
    </w:p>
    <w:p w14:paraId="2B229775">
      <w:pPr>
        <w:keepNext w:val="0"/>
        <w:keepLines w:val="0"/>
        <w:pageBreakBefore w:val="0"/>
        <w:kinsoku/>
        <w:wordWrap w:val="0"/>
        <w:topLinePunct w:val="0"/>
        <w:bidi w:val="0"/>
        <w:adjustRightInd/>
        <w:snapToGrid/>
        <w:textAlignment w:val="auto"/>
        <w:rPr>
          <w:color w:val="auto"/>
        </w:rPr>
      </w:pPr>
    </w:p>
    <w:p w14:paraId="042598F5">
      <w:pPr>
        <w:keepNext w:val="0"/>
        <w:keepLines w:val="0"/>
        <w:pageBreakBefore w:val="0"/>
        <w:kinsoku/>
        <w:wordWrap w:val="0"/>
        <w:topLinePunct w:val="0"/>
        <w:bidi w:val="0"/>
        <w:adjustRightInd/>
        <w:snapToGrid/>
        <w:textAlignment w:val="auto"/>
        <w:rPr>
          <w:color w:val="auto"/>
        </w:rPr>
      </w:pPr>
    </w:p>
    <w:p w14:paraId="281C19F6">
      <w:pPr>
        <w:keepNext w:val="0"/>
        <w:keepLines w:val="0"/>
        <w:pageBreakBefore w:val="0"/>
        <w:kinsoku/>
        <w:wordWrap w:val="0"/>
        <w:topLinePunct w:val="0"/>
        <w:bidi w:val="0"/>
        <w:adjustRightInd/>
        <w:snapToGrid/>
        <w:textAlignment w:val="auto"/>
        <w:rPr>
          <w:color w:val="auto"/>
        </w:rPr>
      </w:pPr>
    </w:p>
    <w:p w14:paraId="0D7BD1D1">
      <w:pPr>
        <w:keepNext w:val="0"/>
        <w:keepLines w:val="0"/>
        <w:pageBreakBefore w:val="0"/>
        <w:kinsoku/>
        <w:wordWrap w:val="0"/>
        <w:topLinePunct w:val="0"/>
        <w:bidi w:val="0"/>
        <w:adjustRightInd/>
        <w:snapToGrid/>
        <w:textAlignment w:val="auto"/>
        <w:rPr>
          <w:color w:val="auto"/>
        </w:rPr>
      </w:pPr>
    </w:p>
    <w:p w14:paraId="3596220B">
      <w:pPr>
        <w:keepNext w:val="0"/>
        <w:keepLines w:val="0"/>
        <w:pageBreakBefore w:val="0"/>
        <w:kinsoku/>
        <w:wordWrap w:val="0"/>
        <w:topLinePunct w:val="0"/>
        <w:bidi w:val="0"/>
        <w:adjustRightInd/>
        <w:snapToGrid/>
        <w:textAlignment w:val="auto"/>
        <w:rPr>
          <w:color w:val="auto"/>
        </w:rPr>
      </w:pPr>
    </w:p>
    <w:p w14:paraId="0DE3453B">
      <w:pPr>
        <w:keepNext w:val="0"/>
        <w:keepLines w:val="0"/>
        <w:pageBreakBefore w:val="0"/>
        <w:kinsoku/>
        <w:wordWrap w:val="0"/>
        <w:topLinePunct w:val="0"/>
        <w:bidi w:val="0"/>
        <w:adjustRightInd/>
        <w:snapToGrid/>
        <w:textAlignment w:val="auto"/>
        <w:rPr>
          <w:color w:val="auto"/>
        </w:rPr>
      </w:pPr>
    </w:p>
    <w:p w14:paraId="523DACAF">
      <w:pPr>
        <w:keepNext w:val="0"/>
        <w:keepLines w:val="0"/>
        <w:pageBreakBefore w:val="0"/>
        <w:kinsoku/>
        <w:wordWrap w:val="0"/>
        <w:topLinePunct w:val="0"/>
        <w:bidi w:val="0"/>
        <w:adjustRightInd/>
        <w:snapToGrid/>
        <w:textAlignment w:val="auto"/>
        <w:rPr>
          <w:color w:val="auto"/>
        </w:rPr>
      </w:pPr>
    </w:p>
    <w:p w14:paraId="755593E6">
      <w:pPr>
        <w:keepNext w:val="0"/>
        <w:keepLines w:val="0"/>
        <w:pageBreakBefore w:val="0"/>
        <w:kinsoku/>
        <w:wordWrap w:val="0"/>
        <w:topLinePunct w:val="0"/>
        <w:bidi w:val="0"/>
        <w:adjustRightInd/>
        <w:snapToGrid/>
        <w:textAlignment w:val="auto"/>
        <w:rPr>
          <w:color w:val="auto"/>
        </w:rPr>
      </w:pPr>
    </w:p>
    <w:p w14:paraId="76E2AC60">
      <w:pPr>
        <w:keepNext w:val="0"/>
        <w:keepLines w:val="0"/>
        <w:pageBreakBefore w:val="0"/>
        <w:kinsoku/>
        <w:wordWrap w:val="0"/>
        <w:topLinePunct w:val="0"/>
        <w:bidi w:val="0"/>
        <w:adjustRightInd/>
        <w:snapToGrid/>
        <w:textAlignment w:val="auto"/>
        <w:rPr>
          <w:color w:val="auto"/>
        </w:rPr>
      </w:pPr>
    </w:p>
    <w:p w14:paraId="7DFB35FE">
      <w:pPr>
        <w:keepNext w:val="0"/>
        <w:keepLines w:val="0"/>
        <w:pageBreakBefore w:val="0"/>
        <w:kinsoku/>
        <w:wordWrap w:val="0"/>
        <w:topLinePunct w:val="0"/>
        <w:bidi w:val="0"/>
        <w:adjustRightInd/>
        <w:snapToGrid/>
        <w:textAlignment w:val="auto"/>
        <w:rPr>
          <w:color w:val="auto"/>
        </w:rPr>
      </w:pPr>
    </w:p>
    <w:p w14:paraId="19CDDC41">
      <w:pPr>
        <w:keepNext w:val="0"/>
        <w:keepLines w:val="0"/>
        <w:pageBreakBefore w:val="0"/>
        <w:kinsoku/>
        <w:wordWrap w:val="0"/>
        <w:topLinePunct w:val="0"/>
        <w:bidi w:val="0"/>
        <w:adjustRightInd/>
        <w:snapToGrid/>
        <w:textAlignment w:val="auto"/>
        <w:rPr>
          <w:color w:val="auto"/>
        </w:rPr>
      </w:pPr>
    </w:p>
    <w:p w14:paraId="3A33E701">
      <w:pPr>
        <w:keepNext w:val="0"/>
        <w:keepLines w:val="0"/>
        <w:pageBreakBefore w:val="0"/>
        <w:kinsoku/>
        <w:wordWrap w:val="0"/>
        <w:topLinePunct w:val="0"/>
        <w:bidi w:val="0"/>
        <w:adjustRightInd/>
        <w:snapToGrid/>
        <w:textAlignment w:val="auto"/>
        <w:rPr>
          <w:color w:val="auto"/>
        </w:rPr>
      </w:pPr>
    </w:p>
    <w:p w14:paraId="65B78898">
      <w:pPr>
        <w:keepNext w:val="0"/>
        <w:keepLines w:val="0"/>
        <w:pageBreakBefore w:val="0"/>
        <w:kinsoku/>
        <w:wordWrap w:val="0"/>
        <w:topLinePunct w:val="0"/>
        <w:bidi w:val="0"/>
        <w:adjustRightInd/>
        <w:snapToGrid/>
        <w:textAlignment w:val="auto"/>
        <w:rPr>
          <w:color w:val="auto"/>
        </w:rPr>
      </w:pPr>
    </w:p>
    <w:p w14:paraId="2F61D31C">
      <w:pPr>
        <w:keepNext w:val="0"/>
        <w:keepLines w:val="0"/>
        <w:pageBreakBefore w:val="0"/>
        <w:kinsoku/>
        <w:wordWrap w:val="0"/>
        <w:topLinePunct w:val="0"/>
        <w:bidi w:val="0"/>
        <w:adjustRightInd/>
        <w:snapToGrid/>
        <w:textAlignment w:val="auto"/>
        <w:rPr>
          <w:color w:val="auto"/>
        </w:rPr>
      </w:pPr>
    </w:p>
    <w:p w14:paraId="20B4955C">
      <w:pPr>
        <w:keepNext w:val="0"/>
        <w:keepLines w:val="0"/>
        <w:pageBreakBefore w:val="0"/>
        <w:kinsoku/>
        <w:wordWrap w:val="0"/>
        <w:topLinePunct w:val="0"/>
        <w:bidi w:val="0"/>
        <w:adjustRightInd/>
        <w:snapToGrid/>
        <w:textAlignment w:val="auto"/>
        <w:rPr>
          <w:color w:val="auto"/>
        </w:rPr>
      </w:pPr>
    </w:p>
    <w:p w14:paraId="0097C7B1">
      <w:pPr>
        <w:keepNext w:val="0"/>
        <w:keepLines w:val="0"/>
        <w:pageBreakBefore w:val="0"/>
        <w:kinsoku/>
        <w:wordWrap w:val="0"/>
        <w:topLinePunct w:val="0"/>
        <w:bidi w:val="0"/>
        <w:adjustRightInd/>
        <w:snapToGrid/>
        <w:textAlignment w:val="auto"/>
        <w:rPr>
          <w:color w:val="auto"/>
        </w:rPr>
      </w:pPr>
    </w:p>
    <w:p w14:paraId="6985A97A">
      <w:pPr>
        <w:keepNext w:val="0"/>
        <w:keepLines w:val="0"/>
        <w:pageBreakBefore w:val="0"/>
        <w:kinsoku/>
        <w:wordWrap w:val="0"/>
        <w:topLinePunct w:val="0"/>
        <w:bidi w:val="0"/>
        <w:adjustRightInd/>
        <w:snapToGrid/>
        <w:textAlignment w:val="auto"/>
        <w:rPr>
          <w:color w:val="auto"/>
        </w:rPr>
      </w:pPr>
    </w:p>
    <w:p w14:paraId="2A21D46B">
      <w:pPr>
        <w:keepNext w:val="0"/>
        <w:keepLines w:val="0"/>
        <w:pageBreakBefore w:val="0"/>
        <w:kinsoku/>
        <w:wordWrap w:val="0"/>
        <w:topLinePunct w:val="0"/>
        <w:bidi w:val="0"/>
        <w:adjustRightInd/>
        <w:snapToGrid/>
        <w:textAlignment w:val="auto"/>
        <w:rPr>
          <w:color w:val="auto"/>
        </w:rPr>
      </w:pPr>
    </w:p>
    <w:p w14:paraId="519FAA95">
      <w:pPr>
        <w:keepNext w:val="0"/>
        <w:keepLines w:val="0"/>
        <w:pageBreakBefore w:val="0"/>
        <w:kinsoku/>
        <w:wordWrap w:val="0"/>
        <w:topLinePunct w:val="0"/>
        <w:bidi w:val="0"/>
        <w:adjustRightInd/>
        <w:snapToGrid/>
        <w:textAlignment w:val="auto"/>
        <w:rPr>
          <w:color w:val="auto"/>
        </w:rPr>
      </w:pPr>
    </w:p>
    <w:p w14:paraId="48020D2D">
      <w:pPr>
        <w:keepNext w:val="0"/>
        <w:keepLines w:val="0"/>
        <w:pageBreakBefore w:val="0"/>
        <w:kinsoku/>
        <w:wordWrap w:val="0"/>
        <w:topLinePunct w:val="0"/>
        <w:bidi w:val="0"/>
        <w:adjustRightInd/>
        <w:snapToGrid/>
        <w:textAlignment w:val="auto"/>
        <w:rPr>
          <w:color w:val="auto"/>
        </w:rPr>
      </w:pPr>
    </w:p>
    <w:p w14:paraId="6D3D9CDD">
      <w:pPr>
        <w:keepNext w:val="0"/>
        <w:keepLines w:val="0"/>
        <w:pageBreakBefore w:val="0"/>
        <w:kinsoku/>
        <w:wordWrap w:val="0"/>
        <w:topLinePunct w:val="0"/>
        <w:bidi w:val="0"/>
        <w:adjustRightInd/>
        <w:snapToGrid/>
        <w:textAlignment w:val="auto"/>
        <w:rPr>
          <w:color w:val="auto"/>
        </w:rPr>
      </w:pPr>
    </w:p>
    <w:p w14:paraId="6AC57412">
      <w:pPr>
        <w:keepNext w:val="0"/>
        <w:keepLines w:val="0"/>
        <w:pageBreakBefore w:val="0"/>
        <w:kinsoku/>
        <w:wordWrap w:val="0"/>
        <w:topLinePunct w:val="0"/>
        <w:bidi w:val="0"/>
        <w:adjustRightInd/>
        <w:snapToGrid/>
        <w:textAlignment w:val="auto"/>
        <w:rPr>
          <w:color w:val="auto"/>
        </w:rPr>
      </w:pPr>
    </w:p>
    <w:p w14:paraId="5E9B704A">
      <w:pPr>
        <w:keepNext w:val="0"/>
        <w:keepLines w:val="0"/>
        <w:pageBreakBefore w:val="0"/>
        <w:kinsoku/>
        <w:wordWrap w:val="0"/>
        <w:topLinePunct w:val="0"/>
        <w:bidi w:val="0"/>
        <w:adjustRightInd/>
        <w:snapToGrid/>
        <w:textAlignment w:val="auto"/>
        <w:rPr>
          <w:color w:val="auto"/>
        </w:rPr>
      </w:pPr>
    </w:p>
    <w:p w14:paraId="159FAD3C">
      <w:pPr>
        <w:keepNext w:val="0"/>
        <w:keepLines w:val="0"/>
        <w:pageBreakBefore w:val="0"/>
        <w:kinsoku/>
        <w:wordWrap w:val="0"/>
        <w:topLinePunct w:val="0"/>
        <w:bidi w:val="0"/>
        <w:adjustRightInd/>
        <w:snapToGrid/>
        <w:textAlignment w:val="auto"/>
        <w:rPr>
          <w:color w:val="auto"/>
        </w:rPr>
      </w:pPr>
    </w:p>
    <w:p w14:paraId="062CFAE2">
      <w:pPr>
        <w:keepNext w:val="0"/>
        <w:keepLines w:val="0"/>
        <w:pageBreakBefore w:val="0"/>
        <w:kinsoku/>
        <w:wordWrap w:val="0"/>
        <w:topLinePunct w:val="0"/>
        <w:bidi w:val="0"/>
        <w:adjustRightInd/>
        <w:snapToGrid/>
        <w:textAlignment w:val="auto"/>
        <w:rPr>
          <w:color w:val="auto"/>
        </w:rPr>
      </w:pPr>
    </w:p>
    <w:p w14:paraId="36BF8492">
      <w:pPr>
        <w:keepNext w:val="0"/>
        <w:keepLines w:val="0"/>
        <w:pageBreakBefore w:val="0"/>
        <w:kinsoku/>
        <w:wordWrap w:val="0"/>
        <w:topLinePunct w:val="0"/>
        <w:bidi w:val="0"/>
        <w:adjustRightInd/>
        <w:snapToGrid/>
        <w:textAlignment w:val="auto"/>
        <w:rPr>
          <w:color w:val="auto"/>
        </w:rPr>
      </w:pPr>
    </w:p>
    <w:p w14:paraId="486BAB02">
      <w:pPr>
        <w:keepNext w:val="0"/>
        <w:keepLines w:val="0"/>
        <w:pageBreakBefore w:val="0"/>
        <w:kinsoku/>
        <w:wordWrap w:val="0"/>
        <w:topLinePunct w:val="0"/>
        <w:bidi w:val="0"/>
        <w:adjustRightInd/>
        <w:snapToGrid/>
        <w:textAlignment w:val="auto"/>
        <w:rPr>
          <w:color w:val="auto"/>
        </w:rPr>
      </w:pPr>
    </w:p>
    <w:p w14:paraId="247FCF8F">
      <w:pPr>
        <w:keepNext w:val="0"/>
        <w:keepLines w:val="0"/>
        <w:pageBreakBefore w:val="0"/>
        <w:kinsoku/>
        <w:wordWrap w:val="0"/>
        <w:topLinePunct w:val="0"/>
        <w:bidi w:val="0"/>
        <w:adjustRightInd/>
        <w:snapToGrid/>
        <w:textAlignment w:val="auto"/>
        <w:rPr>
          <w:color w:val="auto"/>
        </w:rPr>
      </w:pPr>
    </w:p>
    <w:p w14:paraId="34BE59C6">
      <w:pPr>
        <w:keepNext w:val="0"/>
        <w:keepLines w:val="0"/>
        <w:pageBreakBefore w:val="0"/>
        <w:kinsoku/>
        <w:wordWrap w:val="0"/>
        <w:topLinePunct w:val="0"/>
        <w:bidi w:val="0"/>
        <w:adjustRightInd/>
        <w:snapToGrid/>
        <w:textAlignment w:val="auto"/>
        <w:rPr>
          <w:color w:val="auto"/>
        </w:rPr>
      </w:pPr>
    </w:p>
    <w:p w14:paraId="379FCE13">
      <w:pPr>
        <w:keepNext w:val="0"/>
        <w:keepLines w:val="0"/>
        <w:pageBreakBefore w:val="0"/>
        <w:kinsoku/>
        <w:wordWrap w:val="0"/>
        <w:topLinePunct w:val="0"/>
        <w:bidi w:val="0"/>
        <w:adjustRightInd/>
        <w:snapToGrid/>
        <w:textAlignment w:val="auto"/>
        <w:rPr>
          <w:color w:val="auto"/>
        </w:rPr>
      </w:pPr>
    </w:p>
    <w:p w14:paraId="77FC27D7">
      <w:pPr>
        <w:keepNext w:val="0"/>
        <w:keepLines w:val="0"/>
        <w:pageBreakBefore w:val="0"/>
        <w:kinsoku/>
        <w:wordWrap w:val="0"/>
        <w:topLinePunct w:val="0"/>
        <w:bidi w:val="0"/>
        <w:adjustRightInd/>
        <w:snapToGrid/>
        <w:textAlignment w:val="auto"/>
        <w:rPr>
          <w:color w:val="auto"/>
        </w:rPr>
      </w:pPr>
    </w:p>
    <w:p w14:paraId="3EC0CAD9">
      <w:pPr>
        <w:keepNext w:val="0"/>
        <w:keepLines w:val="0"/>
        <w:pageBreakBefore w:val="0"/>
        <w:kinsoku/>
        <w:wordWrap w:val="0"/>
        <w:topLinePunct w:val="0"/>
        <w:bidi w:val="0"/>
        <w:adjustRightInd/>
        <w:snapToGrid/>
        <w:textAlignment w:val="auto"/>
        <w:rPr>
          <w:color w:val="auto"/>
        </w:rPr>
      </w:pPr>
    </w:p>
    <w:p w14:paraId="11CCE477">
      <w:pPr>
        <w:keepNext w:val="0"/>
        <w:keepLines w:val="0"/>
        <w:pageBreakBefore w:val="0"/>
        <w:kinsoku/>
        <w:wordWrap w:val="0"/>
        <w:topLinePunct w:val="0"/>
        <w:bidi w:val="0"/>
        <w:adjustRightInd/>
        <w:snapToGrid/>
        <w:textAlignment w:val="auto"/>
        <w:rPr>
          <w:color w:val="auto"/>
        </w:rPr>
      </w:pPr>
    </w:p>
    <w:p w14:paraId="1238C34B">
      <w:pPr>
        <w:keepNext w:val="0"/>
        <w:keepLines w:val="0"/>
        <w:pageBreakBefore w:val="0"/>
        <w:kinsoku/>
        <w:wordWrap w:val="0"/>
        <w:topLinePunct w:val="0"/>
        <w:bidi w:val="0"/>
        <w:adjustRightInd/>
        <w:snapToGrid/>
        <w:textAlignment w:val="auto"/>
        <w:rPr>
          <w:color w:val="auto"/>
        </w:rPr>
      </w:pPr>
    </w:p>
    <w:p w14:paraId="67524666">
      <w:pPr>
        <w:keepNext w:val="0"/>
        <w:keepLines w:val="0"/>
        <w:pageBreakBefore w:val="0"/>
        <w:kinsoku/>
        <w:wordWrap w:val="0"/>
        <w:topLinePunct w:val="0"/>
        <w:bidi w:val="0"/>
        <w:adjustRightInd/>
        <w:snapToGrid/>
        <w:textAlignment w:val="auto"/>
        <w:rPr>
          <w:color w:val="auto"/>
        </w:rPr>
      </w:pPr>
    </w:p>
    <w:p w14:paraId="0BAA45AB">
      <w:pPr>
        <w:keepNext w:val="0"/>
        <w:keepLines w:val="0"/>
        <w:pageBreakBefore w:val="0"/>
        <w:kinsoku/>
        <w:wordWrap w:val="0"/>
        <w:topLinePunct w:val="0"/>
        <w:bidi w:val="0"/>
        <w:adjustRightInd/>
        <w:snapToGrid/>
        <w:textAlignment w:val="auto"/>
        <w:rPr>
          <w:color w:val="auto"/>
        </w:rPr>
      </w:pPr>
    </w:p>
    <w:p w14:paraId="496C2D47">
      <w:pPr>
        <w:keepNext w:val="0"/>
        <w:keepLines w:val="0"/>
        <w:pageBreakBefore w:val="0"/>
        <w:kinsoku/>
        <w:wordWrap w:val="0"/>
        <w:topLinePunct w:val="0"/>
        <w:bidi w:val="0"/>
        <w:adjustRightInd/>
        <w:snapToGrid/>
        <w:textAlignment w:val="auto"/>
        <w:rPr>
          <w:color w:val="auto"/>
        </w:rPr>
      </w:pPr>
    </w:p>
    <w:p w14:paraId="1A4C196C">
      <w:pPr>
        <w:keepNext w:val="0"/>
        <w:keepLines w:val="0"/>
        <w:pageBreakBefore w:val="0"/>
        <w:kinsoku/>
        <w:wordWrap w:val="0"/>
        <w:topLinePunct w:val="0"/>
        <w:bidi w:val="0"/>
        <w:adjustRightInd/>
        <w:snapToGrid/>
        <w:spacing w:line="590" w:lineRule="exact"/>
        <w:textAlignment w:val="auto"/>
        <w:rPr>
          <w:rFonts w:hint="eastAsia" w:ascii="黑体" w:hAnsi="黑体" w:eastAsia="黑体"/>
          <w:sz w:val="32"/>
          <w:szCs w:val="32"/>
        </w:rPr>
      </w:pPr>
    </w:p>
    <w:p w14:paraId="513B2749">
      <w:pPr>
        <w:keepNext w:val="0"/>
        <w:keepLines w:val="0"/>
        <w:pageBreakBefore w:val="0"/>
        <w:kinsoku/>
        <w:wordWrap w:val="0"/>
        <w:topLinePunct w:val="0"/>
        <w:bidi w:val="0"/>
        <w:adjustRightInd/>
        <w:snapToGrid/>
        <w:spacing w:line="590" w:lineRule="exact"/>
        <w:textAlignment w:val="auto"/>
        <w:rPr>
          <w:rFonts w:hint="eastAsia"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2</w:t>
      </w:r>
    </w:p>
    <w:p w14:paraId="76F9C575">
      <w:pPr>
        <w:keepNext w:val="0"/>
        <w:keepLines w:val="0"/>
        <w:pageBreakBefore w:val="0"/>
        <w:kinsoku/>
        <w:wordWrap w:val="0"/>
        <w:topLinePunct w:val="0"/>
        <w:bidi w:val="0"/>
        <w:adjustRightInd/>
        <w:snapToGrid/>
        <w:textAlignment w:val="auto"/>
        <w:rPr>
          <w:rFonts w:hint="eastAsia" w:eastAsia="宋体"/>
          <w:color w:val="auto"/>
          <w:lang w:eastAsia="zh-CN"/>
        </w:rPr>
      </w:pPr>
      <w:r>
        <w:rPr>
          <w:rFonts w:hint="eastAsia" w:eastAsia="宋体"/>
          <w:color w:val="auto"/>
          <w:lang w:eastAsia="zh-CN"/>
        </w:rPr>
        <w:drawing>
          <wp:inline distT="0" distB="0" distL="114300" distR="114300">
            <wp:extent cx="5614670" cy="7022465"/>
            <wp:effectExtent l="0" t="0" r="5080" b="698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1"/>
                    <a:stretch>
                      <a:fillRect/>
                    </a:stretch>
                  </pic:blipFill>
                  <pic:spPr>
                    <a:xfrm>
                      <a:off x="0" y="0"/>
                      <a:ext cx="5614670" cy="7022465"/>
                    </a:xfrm>
                    <a:prstGeom prst="rect">
                      <a:avLst/>
                    </a:prstGeom>
                  </pic:spPr>
                </pic:pic>
              </a:graphicData>
            </a:graphic>
          </wp:inline>
        </w:drawing>
      </w:r>
    </w:p>
    <w:p w14:paraId="1E4B0F62">
      <w:pPr>
        <w:keepNext w:val="0"/>
        <w:keepLines w:val="0"/>
        <w:pageBreakBefore w:val="0"/>
        <w:kinsoku/>
        <w:wordWrap w:val="0"/>
        <w:topLinePunct w:val="0"/>
        <w:bidi w:val="0"/>
        <w:adjustRightInd/>
        <w:snapToGrid/>
        <w:textAlignment w:val="auto"/>
        <w:rPr>
          <w:color w:val="auto"/>
        </w:rPr>
      </w:pPr>
    </w:p>
    <w:p w14:paraId="75A7004C">
      <w:pPr>
        <w:keepNext w:val="0"/>
        <w:keepLines w:val="0"/>
        <w:pageBreakBefore w:val="0"/>
        <w:kinsoku/>
        <w:wordWrap w:val="0"/>
        <w:topLinePunct w:val="0"/>
        <w:bidi w:val="0"/>
        <w:adjustRightInd/>
        <w:snapToGrid/>
        <w:textAlignment w:val="auto"/>
        <w:rPr>
          <w:color w:val="auto"/>
        </w:rPr>
      </w:pPr>
    </w:p>
    <w:p w14:paraId="49F319C5">
      <w:pPr>
        <w:keepNext w:val="0"/>
        <w:keepLines w:val="0"/>
        <w:pageBreakBefore w:val="0"/>
        <w:kinsoku/>
        <w:wordWrap w:val="0"/>
        <w:topLinePunct w:val="0"/>
        <w:bidi w:val="0"/>
        <w:adjustRightInd/>
        <w:snapToGrid/>
        <w:textAlignment w:val="auto"/>
        <w:rPr>
          <w:color w:val="auto"/>
        </w:rPr>
      </w:pPr>
    </w:p>
    <w:p w14:paraId="5E1769F3">
      <w:pPr>
        <w:keepNext w:val="0"/>
        <w:keepLines w:val="0"/>
        <w:pageBreakBefore w:val="0"/>
        <w:kinsoku/>
        <w:wordWrap w:val="0"/>
        <w:topLinePunct w:val="0"/>
        <w:bidi w:val="0"/>
        <w:adjustRightInd/>
        <w:snapToGrid/>
        <w:textAlignment w:val="auto"/>
        <w:rPr>
          <w:color w:val="auto"/>
        </w:rPr>
      </w:pPr>
    </w:p>
    <w:p w14:paraId="672DB5FC">
      <w:pPr>
        <w:keepNext w:val="0"/>
        <w:keepLines w:val="0"/>
        <w:pageBreakBefore w:val="0"/>
        <w:kinsoku/>
        <w:wordWrap w:val="0"/>
        <w:topLinePunct w:val="0"/>
        <w:bidi w:val="0"/>
        <w:adjustRightInd/>
        <w:snapToGrid/>
        <w:textAlignment w:val="auto"/>
        <w:rPr>
          <w:color w:val="auto"/>
        </w:rPr>
      </w:pPr>
    </w:p>
    <w:p w14:paraId="2EACC317">
      <w:pPr>
        <w:keepNext w:val="0"/>
        <w:keepLines w:val="0"/>
        <w:pageBreakBefore w:val="0"/>
        <w:kinsoku/>
        <w:wordWrap w:val="0"/>
        <w:topLinePunct w:val="0"/>
        <w:bidi w:val="0"/>
        <w:adjustRightInd/>
        <w:snapToGrid/>
        <w:textAlignment w:val="auto"/>
        <w:rPr>
          <w:color w:val="auto"/>
        </w:rPr>
      </w:pPr>
    </w:p>
    <w:p w14:paraId="373E27C6">
      <w:pPr>
        <w:keepNext w:val="0"/>
        <w:keepLines w:val="0"/>
        <w:pageBreakBefore w:val="0"/>
        <w:kinsoku/>
        <w:wordWrap w:val="0"/>
        <w:topLinePunct w:val="0"/>
        <w:bidi w:val="0"/>
        <w:adjustRightInd/>
        <w:snapToGrid/>
        <w:textAlignment w:val="auto"/>
        <w:rPr>
          <w:rFonts w:hint="eastAsia" w:eastAsia="宋体"/>
          <w:color w:val="auto"/>
          <w:lang w:eastAsia="zh-CN"/>
        </w:rPr>
      </w:pPr>
      <w:r>
        <w:rPr>
          <w:rFonts w:hint="eastAsia" w:eastAsia="宋体"/>
          <w:color w:val="auto"/>
          <w:lang w:eastAsia="zh-CN"/>
        </w:rPr>
        <w:drawing>
          <wp:inline distT="0" distB="0" distL="114300" distR="114300">
            <wp:extent cx="5612765" cy="7063105"/>
            <wp:effectExtent l="0" t="0" r="6985" b="4445"/>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12"/>
                    <a:stretch>
                      <a:fillRect/>
                    </a:stretch>
                  </pic:blipFill>
                  <pic:spPr>
                    <a:xfrm>
                      <a:off x="0" y="0"/>
                      <a:ext cx="5612765" cy="7063105"/>
                    </a:xfrm>
                    <a:prstGeom prst="rect">
                      <a:avLst/>
                    </a:prstGeom>
                  </pic:spPr>
                </pic:pic>
              </a:graphicData>
            </a:graphic>
          </wp:inline>
        </w:drawing>
      </w:r>
    </w:p>
    <w:p w14:paraId="4BE0555C">
      <w:pPr>
        <w:keepNext w:val="0"/>
        <w:keepLines w:val="0"/>
        <w:pageBreakBefore w:val="0"/>
        <w:kinsoku/>
        <w:wordWrap w:val="0"/>
        <w:topLinePunct w:val="0"/>
        <w:bidi w:val="0"/>
        <w:adjustRightInd/>
        <w:snapToGrid/>
        <w:textAlignment w:val="auto"/>
        <w:rPr>
          <w:color w:val="auto"/>
        </w:rPr>
      </w:pPr>
    </w:p>
    <w:p w14:paraId="68358CDB">
      <w:pPr>
        <w:keepNext w:val="0"/>
        <w:keepLines w:val="0"/>
        <w:pageBreakBefore w:val="0"/>
        <w:kinsoku/>
        <w:wordWrap w:val="0"/>
        <w:topLinePunct w:val="0"/>
        <w:bidi w:val="0"/>
        <w:adjustRightInd/>
        <w:snapToGrid/>
        <w:textAlignment w:val="auto"/>
        <w:rPr>
          <w:color w:val="auto"/>
        </w:rPr>
      </w:pPr>
    </w:p>
    <w:p w14:paraId="21A2F767">
      <w:pPr>
        <w:keepNext w:val="0"/>
        <w:keepLines w:val="0"/>
        <w:pageBreakBefore w:val="0"/>
        <w:kinsoku/>
        <w:wordWrap w:val="0"/>
        <w:topLinePunct w:val="0"/>
        <w:bidi w:val="0"/>
        <w:adjustRightInd/>
        <w:snapToGrid/>
        <w:textAlignment w:val="auto"/>
        <w:rPr>
          <w:color w:val="auto"/>
        </w:rPr>
      </w:pPr>
    </w:p>
    <w:p w14:paraId="381B974B">
      <w:pPr>
        <w:keepNext w:val="0"/>
        <w:keepLines w:val="0"/>
        <w:pageBreakBefore w:val="0"/>
        <w:kinsoku/>
        <w:wordWrap w:val="0"/>
        <w:topLinePunct w:val="0"/>
        <w:bidi w:val="0"/>
        <w:adjustRightInd/>
        <w:snapToGrid/>
        <w:textAlignment w:val="auto"/>
        <w:rPr>
          <w:color w:val="auto"/>
        </w:rPr>
      </w:pPr>
    </w:p>
    <w:sectPr>
      <w:footerReference r:id="rId8" w:type="first"/>
      <w:footerReference r:id="rId6" w:type="default"/>
      <w:footerReference r:id="rId7" w:type="even"/>
      <w:pgSz w:w="11906" w:h="16838"/>
      <w:pgMar w:top="1928" w:right="1474" w:bottom="1701" w:left="1588" w:header="720" w:footer="1168" w:gutter="0"/>
      <w:pgNumType w:fmt="decimal"/>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93AA1">
    <w:pPr>
      <w:widowControl w:val="0"/>
      <w:snapToGrid w:val="0"/>
      <w:ind w:firstLine="577"/>
      <w:jc w:val="both"/>
      <w:rPr>
        <w:rFonts w:ascii="Times New Roman" w:hAnsi="Times New Roman" w:eastAsia="宋体" w:cs="Times New Roman"/>
        <w:kern w:val="2"/>
        <w:sz w:val="18"/>
        <w:szCs w:val="18"/>
        <w:lang w:val="en-US" w:eastAsia="zh-CN" w:bidi="ar-SA"/>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D51DDE">
                          <w:pPr>
                            <w:pStyle w:val="4"/>
                            <w:jc w:val="center"/>
                            <w:rPr>
                              <w:rStyle w:val="8"/>
                              <w:rFonts w:hint="eastAsia" w:ascii="宋体" w:hAnsi="宋体"/>
                              <w:sz w:val="28"/>
                              <w:szCs w:val="28"/>
                            </w:rPr>
                          </w:pPr>
                          <w:r>
                            <w:rPr>
                              <w:rStyle w:val="8"/>
                              <w:rFonts w:hint="eastAsia" w:ascii="宋体" w:hAnsi="宋体"/>
                              <w:sz w:val="28"/>
                              <w:szCs w:val="28"/>
                            </w:rPr>
                            <w:t xml:space="preserve">— </w:t>
                          </w:r>
                          <w:r>
                            <w:rPr>
                              <w:rStyle w:val="8"/>
                              <w:rFonts w:hint="eastAsia" w:ascii="宋体" w:hAnsi="宋体"/>
                              <w:sz w:val="28"/>
                              <w:szCs w:val="28"/>
                            </w:rPr>
                            <w:fldChar w:fldCharType="begin"/>
                          </w:r>
                          <w:r>
                            <w:rPr>
                              <w:rStyle w:val="8"/>
                              <w:rFonts w:hint="eastAsia" w:ascii="宋体" w:hAnsi="宋体"/>
                              <w:sz w:val="28"/>
                              <w:szCs w:val="28"/>
                            </w:rPr>
                            <w:instrText xml:space="preserve"> PAGE  \* MERGEFORMAT </w:instrText>
                          </w:r>
                          <w:r>
                            <w:rPr>
                              <w:rStyle w:val="8"/>
                              <w:rFonts w:hint="eastAsia" w:ascii="宋体" w:hAnsi="宋体"/>
                              <w:sz w:val="28"/>
                              <w:szCs w:val="28"/>
                            </w:rPr>
                            <w:fldChar w:fldCharType="separate"/>
                          </w:r>
                          <w:r>
                            <w:rPr>
                              <w:rStyle w:val="8"/>
                              <w:rFonts w:hint="eastAsia" w:ascii="宋体" w:hAnsi="宋体"/>
                              <w:sz w:val="28"/>
                              <w:szCs w:val="28"/>
                            </w:rPr>
                            <w:t>4</w:t>
                          </w:r>
                          <w:r>
                            <w:rPr>
                              <w:rStyle w:val="8"/>
                              <w:rFonts w:hint="eastAsia" w:ascii="宋体" w:hAnsi="宋体"/>
                              <w:sz w:val="28"/>
                              <w:szCs w:val="28"/>
                            </w:rPr>
                            <w:fldChar w:fldCharType="end"/>
                          </w:r>
                          <w:r>
                            <w:rPr>
                              <w:rStyle w:val="8"/>
                              <w:rFonts w:hint="eastAsia" w:ascii="宋体" w:hAnsi="宋体"/>
                              <w:sz w:val="28"/>
                              <w:szCs w:val="28"/>
                            </w:rPr>
                            <w:t xml:space="preserve"> —</w:t>
                          </w:r>
                        </w:p>
                        <w:p w14:paraId="6B7E6D64"/>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xzud0BAAC+AwAADgAAAGRycy9lMm9Eb2MueG1srVNBrtMwEN0jcQfL&#10;e5q0SK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NX/OmROWBn75/u3y49fl51e2&#10;TPL0PlaUdecpD4dXMNDSzP5IzsR6aINNf+LDKE7inq/iqgGZTJfWq/W6pJCk2Hwg/OL+ug8R3yiw&#10;LBk1DzS9LKo4vYs4ps4pqZqDW21MnqBxfzkIM3mK1PvYY7Jw2A8ToT00Z+JDz4DqdBC+cNbTEtTc&#10;0c5zZt460jjty2yE2djPhnCSLtYcORvN1zju1dEHfejypqWmon95ROo0E0htjLWn7misWYJpBdPe&#10;/HnOWffPb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Dfsc7ndAQAAvgMAAA4AAAAAAAAA&#10;AQAgAAAAHgEAAGRycy9lMm9Eb2MueG1sUEsFBgAAAAAGAAYAWQEAAG0FAAAAAA==&#10;">
              <v:fill on="f" focussize="0,0"/>
              <v:stroke on="f"/>
              <v:imagedata o:title=""/>
              <o:lock v:ext="edit" aspectratio="f"/>
              <v:textbox inset="0mm,0mm,0mm,0mm" style="mso-fit-shape-to-text:t;">
                <w:txbxContent>
                  <w:p w14:paraId="10D51DDE">
                    <w:pPr>
                      <w:pStyle w:val="4"/>
                      <w:jc w:val="center"/>
                      <w:rPr>
                        <w:rStyle w:val="8"/>
                        <w:rFonts w:hint="eastAsia" w:ascii="宋体" w:hAnsi="宋体"/>
                        <w:sz w:val="28"/>
                        <w:szCs w:val="28"/>
                      </w:rPr>
                    </w:pPr>
                    <w:r>
                      <w:rPr>
                        <w:rStyle w:val="8"/>
                        <w:rFonts w:hint="eastAsia" w:ascii="宋体" w:hAnsi="宋体"/>
                        <w:sz w:val="28"/>
                        <w:szCs w:val="28"/>
                      </w:rPr>
                      <w:t xml:space="preserve">— </w:t>
                    </w:r>
                    <w:r>
                      <w:rPr>
                        <w:rStyle w:val="8"/>
                        <w:rFonts w:hint="eastAsia" w:ascii="宋体" w:hAnsi="宋体"/>
                        <w:sz w:val="28"/>
                        <w:szCs w:val="28"/>
                      </w:rPr>
                      <w:fldChar w:fldCharType="begin"/>
                    </w:r>
                    <w:r>
                      <w:rPr>
                        <w:rStyle w:val="8"/>
                        <w:rFonts w:hint="eastAsia" w:ascii="宋体" w:hAnsi="宋体"/>
                        <w:sz w:val="28"/>
                        <w:szCs w:val="28"/>
                      </w:rPr>
                      <w:instrText xml:space="preserve"> PAGE  \* MERGEFORMAT </w:instrText>
                    </w:r>
                    <w:r>
                      <w:rPr>
                        <w:rStyle w:val="8"/>
                        <w:rFonts w:hint="eastAsia" w:ascii="宋体" w:hAnsi="宋体"/>
                        <w:sz w:val="28"/>
                        <w:szCs w:val="28"/>
                      </w:rPr>
                      <w:fldChar w:fldCharType="separate"/>
                    </w:r>
                    <w:r>
                      <w:rPr>
                        <w:rStyle w:val="8"/>
                        <w:rFonts w:hint="eastAsia" w:ascii="宋体" w:hAnsi="宋体"/>
                        <w:sz w:val="28"/>
                        <w:szCs w:val="28"/>
                      </w:rPr>
                      <w:t>4</w:t>
                    </w:r>
                    <w:r>
                      <w:rPr>
                        <w:rStyle w:val="8"/>
                        <w:rFonts w:hint="eastAsia" w:ascii="宋体" w:hAnsi="宋体"/>
                        <w:sz w:val="28"/>
                        <w:szCs w:val="28"/>
                      </w:rPr>
                      <w:fldChar w:fldCharType="end"/>
                    </w:r>
                    <w:r>
                      <w:rPr>
                        <w:rStyle w:val="8"/>
                        <w:rFonts w:hint="eastAsia" w:ascii="宋体" w:hAnsi="宋体"/>
                        <w:sz w:val="28"/>
                        <w:szCs w:val="28"/>
                      </w:rPr>
                      <w:t xml:space="preserve"> —</w:t>
                    </w:r>
                  </w:p>
                  <w:p w14:paraId="6B7E6D6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57110">
    <w:pPr>
      <w:pStyle w:val="4"/>
      <w:rPr>
        <w:rFonts w:asciiTheme="majorEastAsia" w:hAnsiTheme="majorEastAsia" w:eastAsiaTheme="majorEastAsia"/>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947"/>
                            <w:docPartObj>
                              <w:docPartGallery w:val="autotext"/>
                            </w:docPartObj>
                          </w:sdtPr>
                          <w:sdtEndPr>
                            <w:rPr>
                              <w:rFonts w:asciiTheme="majorEastAsia" w:hAnsiTheme="majorEastAsia" w:eastAsiaTheme="majorEastAsia"/>
                              <w:sz w:val="28"/>
                              <w:szCs w:val="28"/>
                            </w:rPr>
                          </w:sdtEndPr>
                          <w:sdtContent>
                            <w:p w14:paraId="352D18D5">
                              <w:pPr>
                                <w:pStyle w:val="4"/>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2 -</w:t>
                              </w:r>
                              <w:r>
                                <w:rPr>
                                  <w:rFonts w:asciiTheme="majorEastAsia" w:hAnsiTheme="majorEastAsia" w:eastAsiaTheme="majorEastAsia"/>
                                  <w:sz w:val="28"/>
                                  <w:szCs w:val="28"/>
                                </w:rPr>
                                <w:fldChar w:fldCharType="end"/>
                              </w:r>
                            </w:p>
                          </w:sdtContent>
                        </w:sdt>
                        <w:p w14:paraId="6A0C3E08">
                          <w:pPr>
                            <w:rPr>
                              <w:rFonts w:asciiTheme="majorEastAsia" w:hAnsiTheme="majorEastAsia" w:eastAsiaTheme="maj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66947"/>
                      <w:docPartObj>
                        <w:docPartGallery w:val="autotext"/>
                      </w:docPartObj>
                    </w:sdtPr>
                    <w:sdtEndPr>
                      <w:rPr>
                        <w:rFonts w:asciiTheme="majorEastAsia" w:hAnsiTheme="majorEastAsia" w:eastAsiaTheme="majorEastAsia"/>
                        <w:sz w:val="28"/>
                        <w:szCs w:val="28"/>
                      </w:rPr>
                    </w:sdtEndPr>
                    <w:sdtContent>
                      <w:p w14:paraId="352D18D5">
                        <w:pPr>
                          <w:pStyle w:val="4"/>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2 -</w:t>
                        </w:r>
                        <w:r>
                          <w:rPr>
                            <w:rFonts w:asciiTheme="majorEastAsia" w:hAnsiTheme="majorEastAsia" w:eastAsiaTheme="majorEastAsia"/>
                            <w:sz w:val="28"/>
                            <w:szCs w:val="28"/>
                          </w:rPr>
                          <w:fldChar w:fldCharType="end"/>
                        </w:r>
                      </w:p>
                    </w:sdtContent>
                  </w:sdt>
                  <w:p w14:paraId="6A0C3E08">
                    <w:pPr>
                      <w:rPr>
                        <w:rFonts w:asciiTheme="majorEastAsia" w:hAnsiTheme="majorEastAsia" w:eastAsiaTheme="majorEastAsia"/>
                        <w:sz w:val="28"/>
                        <w:szCs w:val="28"/>
                      </w:rPr>
                    </w:pPr>
                  </w:p>
                </w:txbxContent>
              </v:textbox>
            </v:shape>
          </w:pict>
        </mc:Fallback>
      </mc:AlternateContent>
    </w:r>
  </w:p>
  <w:p w14:paraId="4AA84021">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4079">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posOffset>4577715</wp:posOffset>
              </wp:positionH>
              <wp:positionV relativeFrom="paragraph">
                <wp:posOffset>-104775</wp:posOffset>
              </wp:positionV>
              <wp:extent cx="1038225" cy="2368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3822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507B8">
                          <w:pPr>
                            <w:pStyle w:val="4"/>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0.45pt;margin-top:-8.25pt;height:18.65pt;width:81.75pt;mso-position-horizontal-relative:margin;z-index:251662336;mso-width-relative:page;mso-height-relative:page;" filled="f" stroked="f" coordsize="21600,21600" o:gfxdata="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6mjU2QAAAAoBAAAPAAAAAAAAAAEAIAAAACIAAABkcnMvZG93&#10;bnJldi54bWxQSwECFAAUAAAACACHTuJA++uMhDgCAABiBAAADgAAAAAAAAABACAAAAAoAQAAZHJz&#10;L2Uyb0RvYy54bWxQSwUGAAAAAAYABgBZAQAA0gUAAAAA&#10;">
              <v:fill on="f" focussize="0,0"/>
              <v:stroke on="f" weight="0.5pt"/>
              <v:imagedata o:title=""/>
              <o:lock v:ext="edit" aspectratio="f"/>
              <v:textbox inset="0mm,0mm,0mm,0mm">
                <w:txbxContent>
                  <w:p w14:paraId="280507B8">
                    <w:pPr>
                      <w:pStyle w:val="4"/>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4646">
    <w:pPr>
      <w:pStyle w:val="4"/>
      <w:jc w:val="both"/>
      <w:rPr>
        <w:rFonts w:asciiTheme="minorEastAsia" w:hAnsiTheme="minorEastAsia" w:eastAsiaTheme="minorEastAsia"/>
        <w:sz w:val="28"/>
        <w:szCs w:val="28"/>
      </w:rPr>
    </w:pPr>
  </w:p>
  <w:p w14:paraId="22E7A226">
    <w:pPr>
      <w:pStyle w:val="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4F1A">
    <w:pPr>
      <w:pStyle w:val="4"/>
      <w:rPr>
        <w:rFonts w:asciiTheme="minorEastAsia" w:hAnsiTheme="minorEastAsia" w:eastAsiaTheme="minorEastAsia"/>
        <w:sz w:val="28"/>
        <w:szCs w:val="28"/>
      </w:rPr>
    </w:pPr>
  </w:p>
  <w:p w14:paraId="375140D9">
    <w:pPr>
      <w:pStyle w:val="4"/>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6D409">
    <w:pPr>
      <w:pStyle w:val="4"/>
      <w:jc w:val="both"/>
      <w:rPr>
        <w:rFonts w:asciiTheme="minorEastAsia" w:hAnsiTheme="minorEastAsia" w:eastAsiaTheme="minorEastAsia"/>
        <w:sz w:val="28"/>
        <w:szCs w:val="28"/>
      </w:rPr>
    </w:pPr>
  </w:p>
  <w:p w14:paraId="71ECCE77">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wNzg0MGRhM2U3MDdhZjk2M2FhZTI0ODVlYzI1ZmMifQ=="/>
  </w:docVars>
  <w:rsids>
    <w:rsidRoot w:val="2F245EB3"/>
    <w:rsid w:val="000F3D13"/>
    <w:rsid w:val="00450246"/>
    <w:rsid w:val="00462DE9"/>
    <w:rsid w:val="005112E4"/>
    <w:rsid w:val="00680A16"/>
    <w:rsid w:val="00CD3165"/>
    <w:rsid w:val="00E063CF"/>
    <w:rsid w:val="00FD739F"/>
    <w:rsid w:val="07BD5E07"/>
    <w:rsid w:val="07C63C72"/>
    <w:rsid w:val="0B9920CB"/>
    <w:rsid w:val="0C0A3F1F"/>
    <w:rsid w:val="0CC37853"/>
    <w:rsid w:val="0CC50149"/>
    <w:rsid w:val="0D19DFA8"/>
    <w:rsid w:val="0FDE31D6"/>
    <w:rsid w:val="11AC6076"/>
    <w:rsid w:val="11DF2D58"/>
    <w:rsid w:val="13C92283"/>
    <w:rsid w:val="15EA3AAE"/>
    <w:rsid w:val="172B1DBA"/>
    <w:rsid w:val="187C5B16"/>
    <w:rsid w:val="1A080EF7"/>
    <w:rsid w:val="1E2B1519"/>
    <w:rsid w:val="1F79040E"/>
    <w:rsid w:val="210743EB"/>
    <w:rsid w:val="227B5090"/>
    <w:rsid w:val="2337734E"/>
    <w:rsid w:val="26E15D4F"/>
    <w:rsid w:val="281D195D"/>
    <w:rsid w:val="29E35936"/>
    <w:rsid w:val="2A2E0C3A"/>
    <w:rsid w:val="2D310FAE"/>
    <w:rsid w:val="2D69660C"/>
    <w:rsid w:val="2F245EB3"/>
    <w:rsid w:val="30FA55F9"/>
    <w:rsid w:val="316D480E"/>
    <w:rsid w:val="324C725A"/>
    <w:rsid w:val="38BB18EB"/>
    <w:rsid w:val="39B90520"/>
    <w:rsid w:val="3B621C3E"/>
    <w:rsid w:val="3BA63EA1"/>
    <w:rsid w:val="3D802EF4"/>
    <w:rsid w:val="3E526A43"/>
    <w:rsid w:val="3EA90267"/>
    <w:rsid w:val="415B2153"/>
    <w:rsid w:val="418938E9"/>
    <w:rsid w:val="424B1F31"/>
    <w:rsid w:val="46236D21"/>
    <w:rsid w:val="467E73F3"/>
    <w:rsid w:val="4B891BF4"/>
    <w:rsid w:val="4BFA0E30"/>
    <w:rsid w:val="4E2C6584"/>
    <w:rsid w:val="4EBD5F65"/>
    <w:rsid w:val="50210776"/>
    <w:rsid w:val="506B4F5B"/>
    <w:rsid w:val="50A8213A"/>
    <w:rsid w:val="52C86D6D"/>
    <w:rsid w:val="5662752D"/>
    <w:rsid w:val="571132F2"/>
    <w:rsid w:val="576B22D6"/>
    <w:rsid w:val="5B215ACE"/>
    <w:rsid w:val="5B9339CA"/>
    <w:rsid w:val="5C044F83"/>
    <w:rsid w:val="5F830B05"/>
    <w:rsid w:val="61243C22"/>
    <w:rsid w:val="62FB30A8"/>
    <w:rsid w:val="65BE8A04"/>
    <w:rsid w:val="662F102F"/>
    <w:rsid w:val="67184C4F"/>
    <w:rsid w:val="67226E55"/>
    <w:rsid w:val="6A5745E3"/>
    <w:rsid w:val="710D7763"/>
    <w:rsid w:val="721E74B7"/>
    <w:rsid w:val="733B0D05"/>
    <w:rsid w:val="73661717"/>
    <w:rsid w:val="77D777E8"/>
    <w:rsid w:val="78427C1B"/>
    <w:rsid w:val="7AF75AAB"/>
    <w:rsid w:val="7C3F22A0"/>
    <w:rsid w:val="7C4C3C36"/>
    <w:rsid w:val="7D40640D"/>
    <w:rsid w:val="7E8B396B"/>
    <w:rsid w:val="7EFFCC00"/>
    <w:rsid w:val="7F2D32C7"/>
    <w:rsid w:val="7FBD776D"/>
    <w:rsid w:val="BFA651F2"/>
    <w:rsid w:val="BFEFD263"/>
    <w:rsid w:val="FBDF160E"/>
    <w:rsid w:val="FC6B8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spacing w:before="100" w:beforeAutospacing="1" w:after="100" w:afterAutospacing="1"/>
      <w:jc w:val="left"/>
      <w:outlineLvl w:val="2"/>
    </w:pPr>
    <w:rPr>
      <w:rFonts w:hint="eastAsia" w:ascii="宋体" w:hAnsi="宋体"/>
      <w:b/>
      <w:bCs/>
      <w:kern w:val="0"/>
      <w:sz w:val="27"/>
      <w:szCs w:val="27"/>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rPr>
      <w:rFonts w:ascii="方正仿宋简体" w:eastAsia="方正仿宋简体"/>
      <w:sz w:val="32"/>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page number"/>
    <w:qFormat/>
    <w:uiPriority w:val="0"/>
  </w:style>
  <w:style w:type="character" w:styleId="9">
    <w:name w:val="Emphasis"/>
    <w:basedOn w:val="7"/>
    <w:qFormat/>
    <w:uiPriority w:val="0"/>
    <w:rPr>
      <w:i/>
    </w:rPr>
  </w:style>
  <w:style w:type="paragraph" w:customStyle="1" w:styleId="10">
    <w:name w:val="WPSOffice手动目录 1"/>
    <w:qFormat/>
    <w:uiPriority w:val="0"/>
    <w:rPr>
      <w:rFonts w:ascii="Times New Roman" w:hAnsi="Times New Roman" w:eastAsia="宋体" w:cs="Times New Roman"/>
      <w:lang w:val="en-US" w:eastAsia="zh-CN" w:bidi="ar-SA"/>
    </w:rPr>
  </w:style>
  <w:style w:type="paragraph" w:customStyle="1" w:styleId="1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
    <w:name w:val="页脚 字符"/>
    <w:basedOn w:val="7"/>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7757</Words>
  <Characters>8549</Characters>
  <Lines>30</Lines>
  <Paragraphs>8</Paragraphs>
  <TotalTime>3</TotalTime>
  <ScaleCrop>false</ScaleCrop>
  <LinksUpToDate>false</LinksUpToDate>
  <CharactersWithSpaces>8618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2023-10-14T02:22:00Z</dcterms:created>
  <dc:creator>蝈*蝈</dc:creator>
  <cp:lastModifiedBy>颜思晶</cp:lastModifiedBy>
  <cp:lastPrinted>2025-08-05T17:43:00Z</cp:lastPrinted>
  <dcterms:modified xsi:type="dcterms:W3CDTF">2025-08-21T02:59:07Z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9CE48B77D1214C868D7330E593B1B349_13</vt:lpwstr>
  </property>
  <property fmtid="{D5CDD505-2E9C-101B-9397-08002B2CF9AE}" pid="4" name="KSOTemplateDocerSaveRecord">
    <vt:lpwstr>eyJoZGlkIjoiMWI5Nzg4OTIwMTkyYmE1YWEzYzk3Y2ZiNjczNzg4OWUiLCJ1c2VySWQiOiI1NzY0MzM1MzYifQ==</vt:lpwstr>
  </property>
</Properties>
</file>