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79" w:lineRule="atLeast"/>
        <w:rPr>
          <w:rFonts w:hint="eastAsia" w:ascii="方正小标宋简体" w:hAnsi="方正小标宋简体" w:eastAsia="黑体" w:cs="方正小标宋简体"/>
          <w:color w:val="333333"/>
          <w:kern w:val="0"/>
          <w:sz w:val="44"/>
          <w:szCs w:val="44"/>
          <w:lang w:val="en-US" w:eastAsia="zh-CN"/>
        </w:rPr>
      </w:pPr>
      <w:r>
        <w:rPr>
          <w:rFonts w:ascii="Times New Roman" w:hAnsi="Times New Roman" w:eastAsia="黑体" w:cs="Times New Roman"/>
          <w:color w:val="333333"/>
          <w:kern w:val="0"/>
          <w:sz w:val="32"/>
          <w:szCs w:val="32"/>
        </w:rPr>
        <w:t>附件</w:t>
      </w:r>
      <w:r>
        <w:rPr>
          <w:rFonts w:hint="eastAsia" w:ascii="Times New Roman" w:hAnsi="Times New Roman" w:eastAsia="黑体" w:cs="Times New Roman"/>
          <w:color w:val="333333"/>
          <w:kern w:val="0"/>
          <w:sz w:val="32"/>
          <w:szCs w:val="32"/>
          <w:lang w:val="en-US" w:eastAsia="zh-CN"/>
        </w:rPr>
        <w:t>2</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333333"/>
          <w:kern w:val="0"/>
          <w:sz w:val="44"/>
          <w:szCs w:val="44"/>
          <w:lang w:eastAsia="zh-CN"/>
        </w:rPr>
      </w:pPr>
      <w:r>
        <w:rPr>
          <w:rFonts w:hint="eastAsia" w:ascii="方正小标宋简体" w:hAnsi="方正小标宋简体" w:eastAsia="方正小标宋简体" w:cs="方正小标宋简体"/>
          <w:color w:val="333333"/>
          <w:kern w:val="0"/>
          <w:sz w:val="44"/>
          <w:szCs w:val="44"/>
          <w:lang w:eastAsia="zh-CN"/>
        </w:rPr>
        <w:t>专项审计重点</w:t>
      </w:r>
    </w:p>
    <w:p>
      <w:pPr>
        <w:keepNext w:val="0"/>
        <w:keepLines w:val="0"/>
        <w:pageBreakBefore w:val="0"/>
        <w:widowControl/>
        <w:shd w:val="clear" w:color="auto" w:fill="FFFFFF"/>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333333"/>
          <w:kern w:val="0"/>
          <w:sz w:val="44"/>
          <w:szCs w:val="44"/>
          <w:lang w:eastAsia="zh-CN"/>
        </w:rPr>
      </w:pPr>
      <w:bookmarkStart w:id="0" w:name="_GoBack"/>
      <w:bookmarkEnd w:id="0"/>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一、</w:t>
      </w:r>
      <w:r>
        <w:rPr>
          <w:rFonts w:hint="eastAsia" w:ascii="黑体" w:hAnsi="黑体" w:eastAsia="黑体" w:cs="黑体"/>
          <w:color w:val="333333"/>
          <w:kern w:val="0"/>
          <w:sz w:val="32"/>
          <w:szCs w:val="32"/>
        </w:rPr>
        <w:t>年度工作报告</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检查202</w:t>
      </w:r>
      <w:r>
        <w:rPr>
          <w:rFonts w:hint="eastAsia" w:ascii="Times New Roman" w:hAnsi="Times New Roman" w:eastAsia="仿宋_GB2312" w:cs="Times New Roman"/>
          <w:color w:val="333333"/>
          <w:kern w:val="0"/>
          <w:sz w:val="32"/>
          <w:szCs w:val="32"/>
          <w:lang w:val="en-US" w:eastAsia="zh-CN"/>
        </w:rPr>
        <w:t>5</w:t>
      </w:r>
      <w:r>
        <w:rPr>
          <w:rFonts w:hint="eastAsia" w:ascii="Times New Roman" w:hAnsi="Times New Roman" w:eastAsia="仿宋_GB2312" w:cs="Times New Roman"/>
          <w:color w:val="333333"/>
          <w:kern w:val="0"/>
          <w:sz w:val="32"/>
          <w:szCs w:val="32"/>
        </w:rPr>
        <w:t>年度工作报告书的真实性、完整性和准确性。</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二、党建情况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lang w:eastAsia="zh-CN"/>
        </w:rPr>
        <w:t>检查</w:t>
      </w:r>
      <w:r>
        <w:rPr>
          <w:rFonts w:hint="eastAsia" w:ascii="Times New Roman" w:hAnsi="Times New Roman" w:eastAsia="仿宋_GB2312" w:cs="Times New Roman"/>
          <w:color w:val="333333"/>
          <w:kern w:val="0"/>
          <w:sz w:val="32"/>
          <w:szCs w:val="32"/>
        </w:rPr>
        <w:t>是否按规定建立党组织，是否将党的建设和社会主义核心价值观写入章程。</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三、内部治理情况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通过有关决策记录和财务资料，检查是否按照章程规定召开会员（代表）大会、理事会、常务理事会，是否按照章程规定按期换届，是否按规定及时办理变更登记、章程修改核准和负责人备案；检查是否存在负责人超龄超届任职，是否有领导干部违规任职情况；开展活动的收入和捐赠收入是否纳入社会组织账户；是否建立社会组织反洗钱和反恐怖融资内部控制制度；检查是否履行重大事项报告义务。</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四、会费收支情况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检查社会团体会费收支情况以及会费标准是否符合规定；开展评比、表彰、达标或举办研讨会、论坛、展会、培训及收费情况；开展技术审查、论证、评估、检验、评价、检测、鉴定、鉴证、证明、咨询、试验等作为行政审批受理条件的中介服务及收费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五、财务管理情况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检查财务制度、资产管理制度、内部控制制度的制定和执行等情况；检查支出是否超出章程规定的业务范围；是否存在抽逃注册资金；是否存在负责人、工作人员或者其他人员侵占、私分、挪用社会组织财产，通过不合理列支业务活动成本和管理费用等支出、关联方交易或资金占用等牟取私利，挥霍浪费社会组织资金或公共资源等问题；是否存在设立“小金库”或公款吃喝问题；是否存在“变相取酬”问题；对外投资和关联方交易是否符合内部决策程序，对外投资是否符合合法、安全、有效原则，关联方交易是否存在损害社会组织利益情况；检查资产状况和投资决策机制，资产是否实现保值增值，社会组织在投资中保障自身和公众利益的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六、分支（代表）机构、专项基金情况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检查社会团体、基金会是否能够对分支（代表）机构、专项基金实施有效管理；检查分支（代表）机构、专项基金的活动是否符合宗旨、是否超业务范围；检查是否以设立分支（代表）机构、专项基金的名义收取或变相收取管理费、赞助费，是否存在分支（代表）机构、专项基金的资金在社会组织以外账户收支等。</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七、举办研讨会、论坛活动情况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检查社会组织举办研讨会、论坛的主题和内容是否符合章程规定的宗旨和业务范围；社会组织是否存在利用党政机关名义举办或与党政机关联合举办的情况；社会组织是否存在举办研讨会、论坛管理不严，为相关人员发表危害国家统一、安全和民族团结，损害国家利益、社会公共利益、违背社会道德风尚等言论提供了平台。</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八、公益慈善项目情况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检查公益慈善项目开展情况，是否按照《慈善组织公开募捐管理办法》等规定合法合规开展募捐，是否符合业务范围和存在违背公益慈善宗旨的情况，是否存在违背公平原则的情况，是否存在为个人或个别企业牟取不当利益、公益项目收入和支出是否通过社会组织账户进行等情形；是否履行必要审批程序等。对于财政支持的项目，检查是否存在骗取、截留、挤占、挪用项目资金等情形。</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九、慈善活动年度支出和管理费用情况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重点检查慈善组织慈善活动年度支出和管理费用情况是否按照《民政部财政部国家税务总局关于印发&lt;关于慈善组织开展慈善活动年度支出和管理费用的规定&gt;的通知》（民发〔2016〕189号）有关规定执行。</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十、信息公开义务履行情况</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color w:val="333333"/>
          <w:kern w:val="0"/>
          <w:sz w:val="32"/>
          <w:szCs w:val="32"/>
        </w:rPr>
      </w:pPr>
      <w:r>
        <w:rPr>
          <w:rFonts w:hint="eastAsia" w:ascii="Times New Roman" w:hAnsi="Times New Roman" w:eastAsia="仿宋_GB2312" w:cs="Times New Roman"/>
          <w:color w:val="333333"/>
          <w:kern w:val="0"/>
          <w:sz w:val="32"/>
          <w:szCs w:val="32"/>
        </w:rPr>
        <w:t>检查社会组织是否依法履行信息公开义务，信息公开是否真实、完整、及时，是否与年度工作报告、财务会计报告（年度审计报告）所载明的信息公开部分一致。慈善组织还需检查公开募捐、慈善项目、慈善信托有关情况，重大资产变动及投资、重大交换交易及资金往来、关联交易行为等情况的信息公开是否按照《慈善组织信息公开办法》（民政部令第</w:t>
      </w:r>
      <w:r>
        <w:rPr>
          <w:rFonts w:hint="eastAsia" w:ascii="Times New Roman" w:hAnsi="Times New Roman" w:eastAsia="仿宋_GB2312" w:cs="Times New Roman"/>
          <w:color w:val="333333"/>
          <w:kern w:val="0"/>
          <w:sz w:val="32"/>
          <w:szCs w:val="32"/>
          <w:lang w:val="en-US" w:eastAsia="zh-CN"/>
        </w:rPr>
        <w:t>8</w:t>
      </w:r>
      <w:r>
        <w:rPr>
          <w:rFonts w:hint="eastAsia" w:ascii="Times New Roman" w:hAnsi="Times New Roman" w:eastAsia="仿宋_GB2312" w:cs="Times New Roman"/>
          <w:color w:val="333333"/>
          <w:kern w:val="0"/>
          <w:sz w:val="32"/>
          <w:szCs w:val="32"/>
        </w:rPr>
        <w:t>1号）有关规定执行。</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333333"/>
          <w:kern w:val="0"/>
          <w:sz w:val="32"/>
          <w:szCs w:val="32"/>
          <w:lang w:eastAsia="zh-CN"/>
        </w:rPr>
      </w:pPr>
      <w:r>
        <w:rPr>
          <w:rFonts w:hint="eastAsia" w:ascii="黑体" w:hAnsi="黑体" w:eastAsia="黑体" w:cs="黑体"/>
          <w:color w:val="333333"/>
          <w:kern w:val="0"/>
          <w:sz w:val="32"/>
          <w:szCs w:val="32"/>
          <w:lang w:eastAsia="zh-CN"/>
        </w:rPr>
        <w:t>十一、检查是否存在其他违法违规情况</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FCE859"/>
    <w:rsid w:val="7DFCE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2026-09-01T11:34:00Z</dcterms:created>
  <dc:creator>娜些年华</dc:creator>
  <cp:lastModifiedBy>娜些年华</cp:lastModifiedBy>
  <dcterms:modified xsi:type="dcterms:W3CDTF">2026-09-01T11:36:17Z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AA93618ACCD21B44E247966A450B6D85</vt:lpwstr>
  </property>
</Properties>
</file>